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72826B" w14:textId="77777777" w:rsidR="009F39D5" w:rsidRDefault="00AE3D16" w:rsidP="009F39D5">
      <w:pPr>
        <w:pStyle w:val="Docketnumber"/>
        <w:rPr>
          <w:sz w:val="24"/>
          <w:szCs w:val="24"/>
        </w:rPr>
      </w:pPr>
      <w:bookmarkStart w:id="0" w:name="_GoBack"/>
      <w:bookmarkEnd w:id="0"/>
      <w:r>
        <w:rPr>
          <w:sz w:val="24"/>
          <w:szCs w:val="24"/>
        </w:rPr>
        <w:t xml:space="preserve">PUC </w:t>
      </w:r>
      <w:r w:rsidR="00A33EAF">
        <w:rPr>
          <w:sz w:val="24"/>
          <w:szCs w:val="24"/>
        </w:rPr>
        <w:t xml:space="preserve">DOCKET NO. </w:t>
      </w:r>
      <w:r w:rsidR="005359A9">
        <w:rPr>
          <w:sz w:val="24"/>
          <w:szCs w:val="24"/>
        </w:rPr>
        <w:t>46245</w:t>
      </w:r>
    </w:p>
    <w:p w14:paraId="23022E65" w14:textId="77777777" w:rsidR="00AE3D16" w:rsidRDefault="00AE3D16" w:rsidP="009F39D5">
      <w:pPr>
        <w:pStyle w:val="Docketnumber"/>
        <w:rPr>
          <w:sz w:val="24"/>
          <w:szCs w:val="24"/>
        </w:rPr>
      </w:pPr>
      <w:r>
        <w:rPr>
          <w:sz w:val="24"/>
          <w:szCs w:val="24"/>
        </w:rPr>
        <w:t>SOAH DOCKET No. 473-17-0119.WS</w:t>
      </w:r>
    </w:p>
    <w:p w14:paraId="25BAA558" w14:textId="77777777" w:rsidR="009F39D5" w:rsidRPr="001E0547" w:rsidRDefault="009F39D5" w:rsidP="009F39D5">
      <w:pPr>
        <w:jc w:val="center"/>
        <w:rPr>
          <w:b/>
        </w:rPr>
      </w:pPr>
    </w:p>
    <w:tbl>
      <w:tblPr>
        <w:tblW w:w="9846" w:type="dxa"/>
        <w:jc w:val="center"/>
        <w:tblLook w:val="01E0" w:firstRow="1" w:lastRow="1" w:firstColumn="1" w:lastColumn="1" w:noHBand="0" w:noVBand="0"/>
      </w:tblPr>
      <w:tblGrid>
        <w:gridCol w:w="4788"/>
        <w:gridCol w:w="450"/>
        <w:gridCol w:w="4608"/>
      </w:tblGrid>
      <w:tr w:rsidR="009F39D5" w:rsidRPr="00917C13" w14:paraId="7881DB09" w14:textId="77777777" w:rsidTr="002151B1">
        <w:trPr>
          <w:jc w:val="center"/>
        </w:trPr>
        <w:tc>
          <w:tcPr>
            <w:tcW w:w="4788" w:type="dxa"/>
          </w:tcPr>
          <w:p w14:paraId="0465F3D8" w14:textId="77777777" w:rsidR="009F39D5" w:rsidRPr="00374F3E" w:rsidRDefault="005359A9" w:rsidP="00FC3D4A">
            <w:pPr>
              <w:jc w:val="left"/>
              <w:rPr>
                <w:b/>
                <w:caps/>
                <w:szCs w:val="24"/>
              </w:rPr>
            </w:pPr>
            <w:r>
              <w:rPr>
                <w:b/>
                <w:caps/>
                <w:szCs w:val="24"/>
              </w:rPr>
              <w:t>APPLICATION OF DOUBLE DIAMOND UTILITY COMPANY, INC. FOR WATER AND SEWER RATE/TARIFF CHANGE</w:t>
            </w:r>
          </w:p>
        </w:tc>
        <w:tc>
          <w:tcPr>
            <w:tcW w:w="450" w:type="dxa"/>
          </w:tcPr>
          <w:p w14:paraId="564854E6" w14:textId="77777777" w:rsidR="009F39D5" w:rsidRPr="00917C13" w:rsidRDefault="009F39D5" w:rsidP="00525DA6">
            <w:pPr>
              <w:rPr>
                <w:b/>
              </w:rPr>
            </w:pPr>
            <w:r w:rsidRPr="00917C13">
              <w:rPr>
                <w:b/>
              </w:rPr>
              <w:t>§</w:t>
            </w:r>
          </w:p>
          <w:p w14:paraId="2FEDD492" w14:textId="77777777" w:rsidR="009F39D5" w:rsidRDefault="009F39D5" w:rsidP="00525DA6">
            <w:pPr>
              <w:rPr>
                <w:b/>
              </w:rPr>
            </w:pPr>
            <w:r w:rsidRPr="00917C13">
              <w:rPr>
                <w:b/>
              </w:rPr>
              <w:t>§</w:t>
            </w:r>
          </w:p>
          <w:p w14:paraId="5200B6C9" w14:textId="77777777" w:rsidR="00A33EAF" w:rsidRPr="00917C13" w:rsidRDefault="009F39D5" w:rsidP="003C054D">
            <w:pPr>
              <w:rPr>
                <w:b/>
              </w:rPr>
            </w:pPr>
            <w:r>
              <w:rPr>
                <w:b/>
              </w:rPr>
              <w:t>§</w:t>
            </w:r>
          </w:p>
        </w:tc>
        <w:tc>
          <w:tcPr>
            <w:tcW w:w="4608" w:type="dxa"/>
          </w:tcPr>
          <w:p w14:paraId="00711D62" w14:textId="77777777" w:rsidR="009F39D5" w:rsidRPr="00917C13" w:rsidRDefault="009F39D5" w:rsidP="00525DA6">
            <w:pPr>
              <w:pStyle w:val="Docketstyle"/>
              <w:spacing w:line="240" w:lineRule="auto"/>
              <w:jc w:val="center"/>
              <w:rPr>
                <w:bCs/>
              </w:rPr>
            </w:pPr>
            <w:r w:rsidRPr="00917C13">
              <w:rPr>
                <w:bCs/>
              </w:rPr>
              <w:t>PUBLIC UTILITY COMMISSION</w:t>
            </w:r>
          </w:p>
          <w:p w14:paraId="0E80DC59" w14:textId="77777777" w:rsidR="009F39D5" w:rsidRPr="00917C13" w:rsidRDefault="009F39D5" w:rsidP="00525DA6">
            <w:pPr>
              <w:pStyle w:val="Docketstyle"/>
              <w:spacing w:line="240" w:lineRule="auto"/>
              <w:jc w:val="center"/>
              <w:rPr>
                <w:bCs/>
              </w:rPr>
            </w:pPr>
          </w:p>
          <w:p w14:paraId="0091E81A" w14:textId="77777777" w:rsidR="009F39D5" w:rsidRPr="00917C13" w:rsidRDefault="009F39D5" w:rsidP="00525DA6">
            <w:pPr>
              <w:pStyle w:val="Docketstyle"/>
              <w:spacing w:line="240" w:lineRule="auto"/>
              <w:jc w:val="center"/>
              <w:rPr>
                <w:bCs/>
              </w:rPr>
            </w:pPr>
            <w:r w:rsidRPr="00917C13">
              <w:rPr>
                <w:bCs/>
              </w:rPr>
              <w:t>OF TEXAS</w:t>
            </w:r>
          </w:p>
        </w:tc>
      </w:tr>
    </w:tbl>
    <w:p w14:paraId="28BCE990" w14:textId="77777777" w:rsidR="00AF3657" w:rsidRDefault="00AF3657" w:rsidP="003E2911">
      <w:pPr>
        <w:pStyle w:val="Documentheading"/>
      </w:pPr>
    </w:p>
    <w:p w14:paraId="7258F554" w14:textId="77777777" w:rsidR="00727FD7" w:rsidRPr="003E2911" w:rsidRDefault="005359A9" w:rsidP="003E2911">
      <w:pPr>
        <w:pStyle w:val="Documentheading"/>
        <w:spacing w:line="360" w:lineRule="auto"/>
        <w:rPr>
          <w:sz w:val="24"/>
          <w:szCs w:val="24"/>
        </w:rPr>
      </w:pPr>
      <w:r>
        <w:rPr>
          <w:sz w:val="24"/>
          <w:szCs w:val="24"/>
        </w:rPr>
        <w:t>COMMISSION STAFF’S INITIAL BRIEF</w:t>
      </w:r>
      <w:r w:rsidR="003E2911">
        <w:rPr>
          <w:sz w:val="24"/>
          <w:szCs w:val="24"/>
        </w:rPr>
        <w:t xml:space="preserve"> ON LEGAL OR POLICY ISSUES</w:t>
      </w:r>
    </w:p>
    <w:p w14:paraId="59C8844F" w14:textId="77777777" w:rsidR="00764050" w:rsidRDefault="003E2911" w:rsidP="009666D9">
      <w:pPr>
        <w:spacing w:line="360" w:lineRule="auto"/>
        <w:rPr>
          <w:szCs w:val="24"/>
        </w:rPr>
      </w:pPr>
      <w:r>
        <w:rPr>
          <w:b/>
          <w:szCs w:val="24"/>
        </w:rPr>
        <w:tab/>
      </w:r>
      <w:r w:rsidR="00727FD7" w:rsidRPr="00AA07C9">
        <w:rPr>
          <w:b/>
          <w:szCs w:val="24"/>
        </w:rPr>
        <w:t>COMES NOW</w:t>
      </w:r>
      <w:r w:rsidR="00727FD7" w:rsidRPr="002C5ACA">
        <w:rPr>
          <w:szCs w:val="24"/>
        </w:rPr>
        <w:t xml:space="preserve"> the Staff of the Public Utility Commission of Texas </w:t>
      </w:r>
      <w:r w:rsidR="00AA07C9">
        <w:rPr>
          <w:szCs w:val="24"/>
        </w:rPr>
        <w:t>(Staff</w:t>
      </w:r>
      <w:r w:rsidR="00EC1702" w:rsidRPr="002C5ACA">
        <w:rPr>
          <w:szCs w:val="24"/>
        </w:rPr>
        <w:t>)</w:t>
      </w:r>
      <w:r w:rsidR="00EC1702">
        <w:rPr>
          <w:szCs w:val="24"/>
        </w:rPr>
        <w:t xml:space="preserve">, </w:t>
      </w:r>
      <w:r w:rsidR="00727FD7" w:rsidRPr="002C5ACA">
        <w:rPr>
          <w:szCs w:val="24"/>
        </w:rPr>
        <w:t>representing the public interest</w:t>
      </w:r>
      <w:r w:rsidR="00727FD7">
        <w:rPr>
          <w:szCs w:val="24"/>
        </w:rPr>
        <w:t>,</w:t>
      </w:r>
      <w:r w:rsidR="00380E41">
        <w:rPr>
          <w:szCs w:val="24"/>
        </w:rPr>
        <w:t xml:space="preserve"> </w:t>
      </w:r>
      <w:r w:rsidR="00727FD7" w:rsidRPr="002C5ACA">
        <w:rPr>
          <w:szCs w:val="24"/>
        </w:rPr>
        <w:t>and files this</w:t>
      </w:r>
      <w:r w:rsidR="00231564">
        <w:rPr>
          <w:szCs w:val="24"/>
        </w:rPr>
        <w:t xml:space="preserve"> </w:t>
      </w:r>
      <w:r w:rsidR="005359A9">
        <w:rPr>
          <w:szCs w:val="24"/>
        </w:rPr>
        <w:t>Initial Brief</w:t>
      </w:r>
      <w:r w:rsidR="00761D49">
        <w:rPr>
          <w:szCs w:val="24"/>
        </w:rPr>
        <w:t xml:space="preserve"> on Legal or Policy Issues and would show</w:t>
      </w:r>
      <w:r w:rsidR="005359A9" w:rsidRPr="000C03EA">
        <w:rPr>
          <w:szCs w:val="24"/>
        </w:rPr>
        <w:t xml:space="preserve"> the following:</w:t>
      </w:r>
    </w:p>
    <w:p w14:paraId="7C88C102" w14:textId="77777777" w:rsidR="00FC01F7" w:rsidRPr="00BB1C1E" w:rsidRDefault="003D581D" w:rsidP="00BB1C1E">
      <w:pPr>
        <w:pStyle w:val="Heading1"/>
        <w:spacing w:after="0" w:line="360" w:lineRule="auto"/>
        <w:rPr>
          <w:sz w:val="24"/>
          <w:szCs w:val="24"/>
        </w:rPr>
      </w:pPr>
      <w:r w:rsidRPr="00BB1C1E">
        <w:rPr>
          <w:sz w:val="24"/>
          <w:szCs w:val="24"/>
        </w:rPr>
        <w:t xml:space="preserve">PROCEDURAL </w:t>
      </w:r>
      <w:r w:rsidR="00374F3E" w:rsidRPr="00BB1C1E">
        <w:rPr>
          <w:sz w:val="24"/>
          <w:szCs w:val="24"/>
        </w:rPr>
        <w:t>BACKGROUND</w:t>
      </w:r>
    </w:p>
    <w:p w14:paraId="256162AA" w14:textId="77777777" w:rsidR="00AE3D16" w:rsidRDefault="00AE3D16" w:rsidP="00AE3D16">
      <w:pPr>
        <w:spacing w:line="360" w:lineRule="auto"/>
        <w:rPr>
          <w:szCs w:val="24"/>
        </w:rPr>
      </w:pPr>
      <w:r>
        <w:rPr>
          <w:b/>
          <w:szCs w:val="24"/>
        </w:rPr>
        <w:tab/>
      </w:r>
      <w:r>
        <w:rPr>
          <w:szCs w:val="24"/>
        </w:rPr>
        <w:t xml:space="preserve">On August 1, 2016, </w:t>
      </w:r>
      <w:r w:rsidR="008E055C" w:rsidRPr="00AE3D16">
        <w:rPr>
          <w:szCs w:val="24"/>
        </w:rPr>
        <w:t>Double Diamond Utility Company, Inc. (DDU)</w:t>
      </w:r>
      <w:r w:rsidR="008E055C">
        <w:rPr>
          <w:szCs w:val="24"/>
        </w:rPr>
        <w:t xml:space="preserve"> </w:t>
      </w:r>
      <w:r>
        <w:rPr>
          <w:szCs w:val="24"/>
        </w:rPr>
        <w:t>filed application</w:t>
      </w:r>
      <w:r w:rsidR="008E055C">
        <w:rPr>
          <w:szCs w:val="24"/>
        </w:rPr>
        <w:t>s</w:t>
      </w:r>
      <w:r w:rsidR="00761D49" w:rsidRPr="000852D7">
        <w:rPr>
          <w:szCs w:val="24"/>
        </w:rPr>
        <w:t xml:space="preserve"> for a Class B rat</w:t>
      </w:r>
      <w:r w:rsidR="00761D49">
        <w:rPr>
          <w:szCs w:val="24"/>
        </w:rPr>
        <w:t>e/tariff change pursuant to Texas</w:t>
      </w:r>
      <w:r w:rsidR="00761D49" w:rsidRPr="000852D7">
        <w:rPr>
          <w:szCs w:val="24"/>
        </w:rPr>
        <w:t xml:space="preserve"> Water Code</w:t>
      </w:r>
      <w:r w:rsidR="00761D49">
        <w:rPr>
          <w:szCs w:val="24"/>
        </w:rPr>
        <w:t xml:space="preserve"> (TWC) </w:t>
      </w:r>
      <w:r w:rsidR="00761D49" w:rsidRPr="000852D7">
        <w:rPr>
          <w:szCs w:val="24"/>
        </w:rPr>
        <w:t>§ 13.1781</w:t>
      </w:r>
      <w:r w:rsidR="00761D49">
        <w:rPr>
          <w:szCs w:val="24"/>
        </w:rPr>
        <w:t xml:space="preserve"> and 16 Texas</w:t>
      </w:r>
      <w:r w:rsidR="00761D49" w:rsidRPr="000852D7">
        <w:rPr>
          <w:szCs w:val="24"/>
        </w:rPr>
        <w:t xml:space="preserve"> </w:t>
      </w:r>
      <w:r w:rsidR="00761D49">
        <w:rPr>
          <w:szCs w:val="24"/>
        </w:rPr>
        <w:t xml:space="preserve">Administrative Code (TAC) §§ 24.21-.26.  </w:t>
      </w:r>
      <w:r w:rsidR="00730EA7">
        <w:rPr>
          <w:szCs w:val="24"/>
        </w:rPr>
        <w:t xml:space="preserve">Specifically, the applications sought to </w:t>
      </w:r>
      <w:r>
        <w:rPr>
          <w:szCs w:val="24"/>
        </w:rPr>
        <w:t xml:space="preserve">increase </w:t>
      </w:r>
      <w:r w:rsidR="00AA42CB">
        <w:rPr>
          <w:szCs w:val="24"/>
        </w:rPr>
        <w:t xml:space="preserve">the </w:t>
      </w:r>
      <w:r>
        <w:rPr>
          <w:szCs w:val="24"/>
        </w:rPr>
        <w:t>water and sewer rates for</w:t>
      </w:r>
      <w:r w:rsidR="00AF3839">
        <w:rPr>
          <w:szCs w:val="24"/>
        </w:rPr>
        <w:t xml:space="preserve"> two residential </w:t>
      </w:r>
      <w:r>
        <w:rPr>
          <w:szCs w:val="24"/>
        </w:rPr>
        <w:t>resort developments—White Bluff in Hill County and the Cliffs in Palo Pinto County.</w:t>
      </w:r>
      <w:r w:rsidR="008E055C">
        <w:rPr>
          <w:szCs w:val="24"/>
        </w:rPr>
        <w:t xml:space="preserve">  </w:t>
      </w:r>
    </w:p>
    <w:p w14:paraId="2412CDD4" w14:textId="08077741" w:rsidR="00B604EA" w:rsidRDefault="008E055C" w:rsidP="00AE3D16">
      <w:pPr>
        <w:spacing w:line="360" w:lineRule="auto"/>
        <w:rPr>
          <w:szCs w:val="24"/>
        </w:rPr>
      </w:pPr>
      <w:r>
        <w:rPr>
          <w:szCs w:val="24"/>
        </w:rPr>
        <w:tab/>
        <w:t xml:space="preserve">This </w:t>
      </w:r>
      <w:r w:rsidR="003400E7">
        <w:rPr>
          <w:szCs w:val="24"/>
        </w:rPr>
        <w:t>matter</w:t>
      </w:r>
      <w:r>
        <w:rPr>
          <w:szCs w:val="24"/>
        </w:rPr>
        <w:t xml:space="preserve"> was referred to the State Office of Administrative Hearings (SOAH) on September 8, 2016, and a three-day hearing on the merits was convened on October 2</w:t>
      </w:r>
      <w:r w:rsidR="00DA3C92">
        <w:rPr>
          <w:szCs w:val="24"/>
        </w:rPr>
        <w:t>4</w:t>
      </w:r>
      <w:r>
        <w:rPr>
          <w:szCs w:val="24"/>
        </w:rPr>
        <w:t>, 2017.  The parties represented at the hearing included DDU, the White Bluff Ratepayers Group</w:t>
      </w:r>
      <w:r w:rsidR="000B77AA">
        <w:rPr>
          <w:szCs w:val="24"/>
        </w:rPr>
        <w:t xml:space="preserve"> (WBRG)</w:t>
      </w:r>
      <w:r>
        <w:rPr>
          <w:szCs w:val="24"/>
        </w:rPr>
        <w:t>, the Cliffs Utility Committee, and Staff.</w:t>
      </w:r>
      <w:r w:rsidR="00DA3C92">
        <w:rPr>
          <w:szCs w:val="24"/>
        </w:rPr>
        <w:t xml:space="preserve">  On February 13, 2018, the SOAH Administrative Law Judge</w:t>
      </w:r>
      <w:r w:rsidR="00473A35">
        <w:rPr>
          <w:szCs w:val="24"/>
        </w:rPr>
        <w:t xml:space="preserve"> (ALJ)</w:t>
      </w:r>
      <w:r w:rsidR="00DA3C92">
        <w:rPr>
          <w:szCs w:val="24"/>
        </w:rPr>
        <w:t xml:space="preserve"> issued</w:t>
      </w:r>
      <w:r w:rsidR="003D581D">
        <w:rPr>
          <w:szCs w:val="24"/>
        </w:rPr>
        <w:t xml:space="preserve"> a Proposal for Decision</w:t>
      </w:r>
      <w:r w:rsidR="00B604EA">
        <w:rPr>
          <w:szCs w:val="24"/>
        </w:rPr>
        <w:t xml:space="preserve"> (PFD)</w:t>
      </w:r>
      <w:r w:rsidR="003D581D">
        <w:rPr>
          <w:szCs w:val="24"/>
        </w:rPr>
        <w:t xml:space="preserve">, which </w:t>
      </w:r>
      <w:r w:rsidR="00B604EA">
        <w:rPr>
          <w:szCs w:val="24"/>
        </w:rPr>
        <w:t xml:space="preserve">included a recommendation to reduce DDU’s </w:t>
      </w:r>
      <w:r w:rsidR="004B28D9">
        <w:rPr>
          <w:szCs w:val="24"/>
        </w:rPr>
        <w:t xml:space="preserve">requested </w:t>
      </w:r>
      <w:r w:rsidR="00B604EA">
        <w:rPr>
          <w:szCs w:val="24"/>
        </w:rPr>
        <w:t xml:space="preserve">rate base for White </w:t>
      </w:r>
      <w:r w:rsidR="00B604EA" w:rsidRPr="004B28D9">
        <w:rPr>
          <w:szCs w:val="24"/>
        </w:rPr>
        <w:t xml:space="preserve">Bluff to </w:t>
      </w:r>
      <w:r w:rsidR="004B28D9" w:rsidRPr="004B28D9">
        <w:rPr>
          <w:szCs w:val="24"/>
        </w:rPr>
        <w:t>remove dev</w:t>
      </w:r>
      <w:r w:rsidR="004B28D9">
        <w:rPr>
          <w:szCs w:val="24"/>
        </w:rPr>
        <w:t>eloper contributions</w:t>
      </w:r>
      <w:r w:rsidR="00B604EA">
        <w:rPr>
          <w:szCs w:val="24"/>
        </w:rPr>
        <w:t xml:space="preserve">.    </w:t>
      </w:r>
    </w:p>
    <w:p w14:paraId="006F0F18" w14:textId="5D33E730" w:rsidR="008E055C" w:rsidRPr="00AE3D16" w:rsidRDefault="00B604EA" w:rsidP="00AE3D16">
      <w:pPr>
        <w:spacing w:line="360" w:lineRule="auto"/>
        <w:rPr>
          <w:szCs w:val="24"/>
        </w:rPr>
      </w:pPr>
      <w:r>
        <w:rPr>
          <w:szCs w:val="24"/>
        </w:rPr>
        <w:tab/>
      </w:r>
      <w:r w:rsidR="00761D49">
        <w:rPr>
          <w:szCs w:val="24"/>
        </w:rPr>
        <w:t xml:space="preserve">At the open meeting held on May 25, 2018, the Commission considered a Draft Order and requested briefing on the differences between customer contributions in aid of construction and developer contributions.  The Briefing Order, issued May 30, 2018, set July 2, 2018, as the deadline for initial briefs.  Therefore, Staff’s Initial Brief is timely filed.     </w:t>
      </w:r>
      <w:r w:rsidR="00CB428B">
        <w:rPr>
          <w:szCs w:val="24"/>
        </w:rPr>
        <w:t xml:space="preserve"> </w:t>
      </w:r>
      <w:r w:rsidR="003D581D">
        <w:rPr>
          <w:szCs w:val="24"/>
        </w:rPr>
        <w:t xml:space="preserve">  </w:t>
      </w:r>
    </w:p>
    <w:p w14:paraId="3FA2AD5D" w14:textId="77777777" w:rsidR="009666D9" w:rsidRPr="00BB1C1E" w:rsidRDefault="009666D9" w:rsidP="009666D9">
      <w:pPr>
        <w:pStyle w:val="ListParagraph"/>
        <w:spacing w:line="360" w:lineRule="auto"/>
        <w:jc w:val="center"/>
        <w:rPr>
          <w:b/>
          <w:szCs w:val="24"/>
        </w:rPr>
      </w:pPr>
    </w:p>
    <w:p w14:paraId="5EE1919D" w14:textId="77777777" w:rsidR="003D581D" w:rsidRPr="00BB1C1E" w:rsidRDefault="003D581D" w:rsidP="00BB1C1E">
      <w:pPr>
        <w:pStyle w:val="Heading1"/>
        <w:spacing w:after="0" w:line="360" w:lineRule="auto"/>
        <w:rPr>
          <w:sz w:val="24"/>
          <w:szCs w:val="24"/>
        </w:rPr>
      </w:pPr>
      <w:r w:rsidRPr="00BB1C1E">
        <w:rPr>
          <w:sz w:val="24"/>
          <w:szCs w:val="24"/>
        </w:rPr>
        <w:lastRenderedPageBreak/>
        <w:t>FACTUAL BACKGROUND</w:t>
      </w:r>
    </w:p>
    <w:p w14:paraId="0E9C2E9F" w14:textId="77777777" w:rsidR="00AB5F54" w:rsidRDefault="007F1C44" w:rsidP="007F1C44">
      <w:pPr>
        <w:spacing w:line="360" w:lineRule="auto"/>
        <w:rPr>
          <w:szCs w:val="24"/>
        </w:rPr>
      </w:pPr>
      <w:r>
        <w:rPr>
          <w:szCs w:val="24"/>
        </w:rPr>
        <w:tab/>
        <w:t>DDU is an investor-owned utility</w:t>
      </w:r>
      <w:r w:rsidR="00015918">
        <w:rPr>
          <w:szCs w:val="24"/>
        </w:rPr>
        <w:t xml:space="preserve"> that is wholly owned by Double Diamond Delaware, Inc. (DDD).</w:t>
      </w:r>
      <w:r w:rsidR="00015918">
        <w:rPr>
          <w:rStyle w:val="FootnoteReference"/>
          <w:szCs w:val="24"/>
        </w:rPr>
        <w:footnoteReference w:id="1"/>
      </w:r>
      <w:r w:rsidR="00015918">
        <w:rPr>
          <w:szCs w:val="24"/>
        </w:rPr>
        <w:t xml:space="preserve">  DDD </w:t>
      </w:r>
      <w:r w:rsidR="00D90C41">
        <w:rPr>
          <w:szCs w:val="24"/>
        </w:rPr>
        <w:t>has two other subsidiaries relevant to this case—Double Diamond, Inc.</w:t>
      </w:r>
      <w:r w:rsidR="009255B3">
        <w:rPr>
          <w:szCs w:val="24"/>
        </w:rPr>
        <w:t xml:space="preserve"> (DDI)</w:t>
      </w:r>
      <w:r w:rsidR="00D90C41">
        <w:rPr>
          <w:rStyle w:val="FootnoteReference"/>
          <w:szCs w:val="24"/>
        </w:rPr>
        <w:footnoteReference w:id="2"/>
      </w:r>
      <w:r w:rsidR="00D90C41">
        <w:rPr>
          <w:szCs w:val="24"/>
        </w:rPr>
        <w:t xml:space="preserve"> and </w:t>
      </w:r>
      <w:r w:rsidR="00015918">
        <w:rPr>
          <w:szCs w:val="24"/>
        </w:rPr>
        <w:t>Double Diamond Properties Construction Co. (DDPC)</w:t>
      </w:r>
      <w:r w:rsidR="00EE305C">
        <w:rPr>
          <w:szCs w:val="24"/>
        </w:rPr>
        <w:t>.</w:t>
      </w:r>
      <w:r w:rsidR="00D90C41">
        <w:rPr>
          <w:rStyle w:val="FootnoteReference"/>
          <w:szCs w:val="24"/>
        </w:rPr>
        <w:footnoteReference w:id="3"/>
      </w:r>
      <w:r w:rsidR="00FA34E5">
        <w:rPr>
          <w:szCs w:val="24"/>
        </w:rPr>
        <w:t xml:space="preserve">  DDU and DDPC were both established in December 1996.</w:t>
      </w:r>
      <w:r w:rsidR="00FA34E5">
        <w:rPr>
          <w:rStyle w:val="FootnoteReference"/>
          <w:szCs w:val="24"/>
        </w:rPr>
        <w:footnoteReference w:id="4"/>
      </w:r>
      <w:r w:rsidR="00FA34E5">
        <w:rPr>
          <w:szCs w:val="24"/>
        </w:rPr>
        <w:t xml:space="preserve">  </w:t>
      </w:r>
    </w:p>
    <w:p w14:paraId="18B54389" w14:textId="4F532413" w:rsidR="005F18A9" w:rsidRDefault="00AB5F54" w:rsidP="007F1C44">
      <w:pPr>
        <w:spacing w:line="360" w:lineRule="auto"/>
        <w:rPr>
          <w:szCs w:val="24"/>
        </w:rPr>
      </w:pPr>
      <w:r>
        <w:rPr>
          <w:szCs w:val="24"/>
        </w:rPr>
        <w:tab/>
      </w:r>
      <w:r w:rsidR="005F18A9">
        <w:rPr>
          <w:szCs w:val="24"/>
        </w:rPr>
        <w:t>DDU serves approximately 640 water</w:t>
      </w:r>
      <w:r w:rsidR="005F18A9">
        <w:rPr>
          <w:rStyle w:val="FootnoteReference"/>
          <w:szCs w:val="24"/>
        </w:rPr>
        <w:footnoteReference w:id="5"/>
      </w:r>
      <w:r w:rsidR="005F18A9">
        <w:rPr>
          <w:szCs w:val="24"/>
        </w:rPr>
        <w:t xml:space="preserve"> customers and 567 sewer</w:t>
      </w:r>
      <w:r w:rsidR="005F18A9">
        <w:rPr>
          <w:rStyle w:val="FootnoteReference"/>
          <w:szCs w:val="24"/>
        </w:rPr>
        <w:footnoteReference w:id="6"/>
      </w:r>
      <w:r w:rsidR="005F18A9">
        <w:rPr>
          <w:szCs w:val="24"/>
        </w:rPr>
        <w:t xml:space="preserve"> customers in the White Bluff subdivision. The approximate total number of lots within White Bluff </w:t>
      </w:r>
      <w:r w:rsidR="00643B13">
        <w:rPr>
          <w:szCs w:val="24"/>
        </w:rPr>
        <w:t>is</w:t>
      </w:r>
      <w:r w:rsidR="005F18A9">
        <w:rPr>
          <w:szCs w:val="24"/>
        </w:rPr>
        <w:t xml:space="preserve"> 6,314.</w:t>
      </w:r>
      <w:r w:rsidR="005F18A9">
        <w:rPr>
          <w:rStyle w:val="FootnoteReference"/>
          <w:szCs w:val="24"/>
        </w:rPr>
        <w:footnoteReference w:id="7"/>
      </w:r>
      <w:r w:rsidR="005F18A9">
        <w:rPr>
          <w:szCs w:val="24"/>
        </w:rPr>
        <w:t xml:space="preserve">  About 85 to 90 percent of the lots within White Bluff have been sold.</w:t>
      </w:r>
      <w:r w:rsidR="005F18A9">
        <w:rPr>
          <w:rStyle w:val="FootnoteReference"/>
          <w:szCs w:val="24"/>
        </w:rPr>
        <w:footnoteReference w:id="8"/>
      </w:r>
    </w:p>
    <w:p w14:paraId="7CEC93F7" w14:textId="31398BDF" w:rsidR="005F18A9" w:rsidRDefault="005F18A9" w:rsidP="007F1C44">
      <w:pPr>
        <w:spacing w:line="360" w:lineRule="auto"/>
        <w:rPr>
          <w:szCs w:val="24"/>
        </w:rPr>
      </w:pPr>
      <w:r>
        <w:rPr>
          <w:szCs w:val="24"/>
        </w:rPr>
        <w:tab/>
      </w:r>
      <w:r w:rsidR="00BA0344">
        <w:rPr>
          <w:szCs w:val="24"/>
        </w:rPr>
        <w:t>The original</w:t>
      </w:r>
      <w:r w:rsidR="00EE305C">
        <w:rPr>
          <w:szCs w:val="24"/>
        </w:rPr>
        <w:t xml:space="preserve"> water </w:t>
      </w:r>
      <w:r w:rsidR="000F6A44">
        <w:rPr>
          <w:szCs w:val="24"/>
        </w:rPr>
        <w:t xml:space="preserve">and sewer </w:t>
      </w:r>
      <w:r w:rsidR="00EE305C">
        <w:rPr>
          <w:szCs w:val="24"/>
        </w:rPr>
        <w:t>system</w:t>
      </w:r>
      <w:r w:rsidR="000F6A44">
        <w:rPr>
          <w:szCs w:val="24"/>
        </w:rPr>
        <w:t>s</w:t>
      </w:r>
      <w:r w:rsidR="00EE305C">
        <w:rPr>
          <w:szCs w:val="24"/>
        </w:rPr>
        <w:t xml:space="preserve"> at White Bluff</w:t>
      </w:r>
      <w:r w:rsidR="00DB610C">
        <w:rPr>
          <w:szCs w:val="24"/>
        </w:rPr>
        <w:t xml:space="preserve"> </w:t>
      </w:r>
      <w:r w:rsidR="000F6A44">
        <w:rPr>
          <w:szCs w:val="24"/>
        </w:rPr>
        <w:t>were</w:t>
      </w:r>
      <w:r w:rsidR="00EE305C">
        <w:rPr>
          <w:szCs w:val="24"/>
        </w:rPr>
        <w:t xml:space="preserve"> constructed by DDI in 1990-1991.</w:t>
      </w:r>
      <w:r w:rsidR="00EE305C">
        <w:rPr>
          <w:rStyle w:val="FootnoteReference"/>
          <w:szCs w:val="24"/>
        </w:rPr>
        <w:footnoteReference w:id="9"/>
      </w:r>
      <w:r w:rsidR="00DB610C">
        <w:rPr>
          <w:szCs w:val="24"/>
        </w:rPr>
        <w:t xml:space="preserve">  </w:t>
      </w:r>
      <w:r w:rsidR="003C0E2D">
        <w:rPr>
          <w:szCs w:val="24"/>
        </w:rPr>
        <w:t>For the purposes of the application, DDU treated 80% of the cost of each asset in the</w:t>
      </w:r>
      <w:r w:rsidR="0055410D">
        <w:rPr>
          <w:szCs w:val="24"/>
        </w:rPr>
        <w:t xml:space="preserve"> original water and sewer systems </w:t>
      </w:r>
      <w:r w:rsidR="003C0E2D">
        <w:rPr>
          <w:szCs w:val="24"/>
        </w:rPr>
        <w:t xml:space="preserve">as </w:t>
      </w:r>
      <w:r w:rsidR="0006039C">
        <w:rPr>
          <w:szCs w:val="24"/>
        </w:rPr>
        <w:t>developer-contributed.</w:t>
      </w:r>
      <w:r w:rsidR="0006039C">
        <w:rPr>
          <w:rStyle w:val="FootnoteReference"/>
          <w:szCs w:val="24"/>
        </w:rPr>
        <w:footnoteReference w:id="10"/>
      </w:r>
      <w:r w:rsidR="0006039C">
        <w:rPr>
          <w:szCs w:val="24"/>
        </w:rPr>
        <w:t xml:space="preserve">  As new sections of each subdivision were opened, additional distribution lines </w:t>
      </w:r>
      <w:r w:rsidR="00BA0344">
        <w:rPr>
          <w:szCs w:val="24"/>
        </w:rPr>
        <w:t>and collection systems were constructed; these assets</w:t>
      </w:r>
      <w:r w:rsidR="0006039C">
        <w:rPr>
          <w:szCs w:val="24"/>
        </w:rPr>
        <w:t xml:space="preserve"> were also treated as 80% developer contributed.</w:t>
      </w:r>
      <w:r w:rsidR="0006039C">
        <w:rPr>
          <w:rStyle w:val="FootnoteReference"/>
          <w:szCs w:val="24"/>
        </w:rPr>
        <w:footnoteReference w:id="11"/>
      </w:r>
      <w:r w:rsidR="00BA0344">
        <w:rPr>
          <w:szCs w:val="24"/>
        </w:rPr>
        <w:t xml:space="preserve">  The 80-20 split is consistent with the settlement reached in DDU’s 2008 rate application filed with the Texas Commission on Environmental Quality.</w:t>
      </w:r>
      <w:r w:rsidR="00BA0344">
        <w:rPr>
          <w:rStyle w:val="FootnoteReference"/>
          <w:szCs w:val="24"/>
        </w:rPr>
        <w:footnoteReference w:id="12"/>
      </w:r>
      <w:r w:rsidR="00BA0344">
        <w:rPr>
          <w:szCs w:val="24"/>
        </w:rPr>
        <w:t xml:space="preserve">  </w:t>
      </w:r>
      <w:r w:rsidR="00141F3E">
        <w:rPr>
          <w:szCs w:val="24"/>
        </w:rPr>
        <w:t xml:space="preserve">In 2008, </w:t>
      </w:r>
      <w:r w:rsidR="00DB610C">
        <w:rPr>
          <w:szCs w:val="24"/>
        </w:rPr>
        <w:t>the</w:t>
      </w:r>
      <w:r w:rsidR="00141F3E">
        <w:rPr>
          <w:szCs w:val="24"/>
        </w:rPr>
        <w:t xml:space="preserve"> decision was made to begin treating all newly-constructed utility plant and facilities as 100% utility contributed.</w:t>
      </w:r>
      <w:r w:rsidR="00141F3E">
        <w:rPr>
          <w:rStyle w:val="FootnoteReference"/>
          <w:szCs w:val="24"/>
        </w:rPr>
        <w:footnoteReference w:id="13"/>
      </w:r>
      <w:r w:rsidR="00980D8A">
        <w:rPr>
          <w:szCs w:val="24"/>
        </w:rPr>
        <w:t xml:space="preserve">  </w:t>
      </w:r>
      <w:r>
        <w:rPr>
          <w:szCs w:val="24"/>
        </w:rPr>
        <w:t xml:space="preserve"> </w:t>
      </w:r>
    </w:p>
    <w:p w14:paraId="1AF56996" w14:textId="77777777" w:rsidR="00DD25B8" w:rsidRDefault="00D43B18" w:rsidP="00473A35">
      <w:pPr>
        <w:spacing w:after="120" w:line="360" w:lineRule="auto"/>
        <w:rPr>
          <w:szCs w:val="24"/>
        </w:rPr>
      </w:pPr>
      <w:r>
        <w:rPr>
          <w:szCs w:val="24"/>
        </w:rPr>
        <w:lastRenderedPageBreak/>
        <w:tab/>
        <w:t>DDU’s</w:t>
      </w:r>
      <w:r w:rsidR="00CA14AE">
        <w:rPr>
          <w:szCs w:val="24"/>
        </w:rPr>
        <w:t xml:space="preserve"> amended application </w:t>
      </w:r>
      <w:r w:rsidR="00DD25B8">
        <w:rPr>
          <w:szCs w:val="24"/>
        </w:rPr>
        <w:t>requested the following rate base for each system:</w:t>
      </w:r>
      <w:r w:rsidR="00DD25B8">
        <w:rPr>
          <w:rStyle w:val="FootnoteReference"/>
          <w:szCs w:val="24"/>
        </w:rPr>
        <w:footnoteReference w:id="14"/>
      </w:r>
    </w:p>
    <w:tbl>
      <w:tblPr>
        <w:tblStyle w:val="TableGrid"/>
        <w:tblW w:w="9535" w:type="dxa"/>
        <w:jc w:val="center"/>
        <w:tblLayout w:type="fixed"/>
        <w:tblLook w:val="04A0" w:firstRow="1" w:lastRow="0" w:firstColumn="1" w:lastColumn="0" w:noHBand="0" w:noVBand="1"/>
      </w:tblPr>
      <w:tblGrid>
        <w:gridCol w:w="2785"/>
        <w:gridCol w:w="1687"/>
        <w:gridCol w:w="1733"/>
        <w:gridCol w:w="1642"/>
        <w:gridCol w:w="1688"/>
      </w:tblGrid>
      <w:tr w:rsidR="00F76339" w14:paraId="62D8635D" w14:textId="77777777" w:rsidTr="00F76339">
        <w:trPr>
          <w:jc w:val="center"/>
        </w:trPr>
        <w:tc>
          <w:tcPr>
            <w:tcW w:w="9535" w:type="dxa"/>
            <w:gridSpan w:val="5"/>
          </w:tcPr>
          <w:p w14:paraId="53E066E6" w14:textId="77777777" w:rsidR="00F76339" w:rsidRPr="00F76339" w:rsidRDefault="00D43B18" w:rsidP="00F76339">
            <w:pPr>
              <w:spacing w:line="360" w:lineRule="auto"/>
              <w:jc w:val="center"/>
              <w:rPr>
                <w:b/>
                <w:szCs w:val="24"/>
              </w:rPr>
            </w:pPr>
            <w:r>
              <w:rPr>
                <w:b/>
                <w:szCs w:val="24"/>
              </w:rPr>
              <w:t>Table 1</w:t>
            </w:r>
            <w:r w:rsidR="00F76339">
              <w:rPr>
                <w:b/>
                <w:szCs w:val="24"/>
              </w:rPr>
              <w:t xml:space="preserve"> – </w:t>
            </w:r>
            <w:r>
              <w:rPr>
                <w:b/>
                <w:szCs w:val="24"/>
              </w:rPr>
              <w:t xml:space="preserve">DDU’s </w:t>
            </w:r>
            <w:r w:rsidR="00F76339">
              <w:rPr>
                <w:b/>
                <w:szCs w:val="24"/>
              </w:rPr>
              <w:t>Requested Rate Base</w:t>
            </w:r>
          </w:p>
        </w:tc>
      </w:tr>
      <w:tr w:rsidR="00F76339" w14:paraId="57C869B6" w14:textId="77777777" w:rsidTr="00F4683B">
        <w:trPr>
          <w:jc w:val="center"/>
        </w:trPr>
        <w:tc>
          <w:tcPr>
            <w:tcW w:w="2785" w:type="dxa"/>
          </w:tcPr>
          <w:p w14:paraId="2268D083" w14:textId="77777777" w:rsidR="00F76339" w:rsidRDefault="00F76339" w:rsidP="007F1C44">
            <w:pPr>
              <w:spacing w:line="360" w:lineRule="auto"/>
              <w:rPr>
                <w:szCs w:val="24"/>
              </w:rPr>
            </w:pPr>
          </w:p>
        </w:tc>
        <w:tc>
          <w:tcPr>
            <w:tcW w:w="3420" w:type="dxa"/>
            <w:gridSpan w:val="2"/>
          </w:tcPr>
          <w:p w14:paraId="2A13F062" w14:textId="77777777" w:rsidR="00F76339" w:rsidRPr="00F76339" w:rsidRDefault="00F76339" w:rsidP="00F76339">
            <w:pPr>
              <w:spacing w:line="360" w:lineRule="auto"/>
              <w:jc w:val="center"/>
              <w:rPr>
                <w:b/>
                <w:szCs w:val="24"/>
              </w:rPr>
            </w:pPr>
            <w:r w:rsidRPr="00F76339">
              <w:rPr>
                <w:b/>
                <w:szCs w:val="24"/>
              </w:rPr>
              <w:t>White Bluff</w:t>
            </w:r>
          </w:p>
        </w:tc>
        <w:tc>
          <w:tcPr>
            <w:tcW w:w="3330" w:type="dxa"/>
            <w:gridSpan w:val="2"/>
          </w:tcPr>
          <w:p w14:paraId="59F99B51" w14:textId="77777777" w:rsidR="00F76339" w:rsidRPr="00F76339" w:rsidRDefault="00F76339" w:rsidP="00F76339">
            <w:pPr>
              <w:spacing w:line="360" w:lineRule="auto"/>
              <w:jc w:val="center"/>
              <w:rPr>
                <w:b/>
                <w:szCs w:val="24"/>
              </w:rPr>
            </w:pPr>
            <w:r w:rsidRPr="00F76339">
              <w:rPr>
                <w:b/>
                <w:szCs w:val="24"/>
              </w:rPr>
              <w:t>The Cliffs</w:t>
            </w:r>
          </w:p>
        </w:tc>
      </w:tr>
      <w:tr w:rsidR="00F76339" w14:paraId="3E88B797" w14:textId="77777777" w:rsidTr="00F4683B">
        <w:trPr>
          <w:jc w:val="center"/>
        </w:trPr>
        <w:tc>
          <w:tcPr>
            <w:tcW w:w="2785" w:type="dxa"/>
          </w:tcPr>
          <w:p w14:paraId="3E8C4B8D" w14:textId="77777777" w:rsidR="00F76339" w:rsidRDefault="00F76339" w:rsidP="00F76339">
            <w:pPr>
              <w:rPr>
                <w:b/>
                <w:szCs w:val="24"/>
              </w:rPr>
            </w:pPr>
          </w:p>
        </w:tc>
        <w:tc>
          <w:tcPr>
            <w:tcW w:w="1687" w:type="dxa"/>
          </w:tcPr>
          <w:p w14:paraId="273B314C" w14:textId="77777777" w:rsidR="00F76339" w:rsidRPr="00F76339" w:rsidRDefault="00F76339" w:rsidP="00F76339">
            <w:pPr>
              <w:jc w:val="center"/>
              <w:rPr>
                <w:b/>
                <w:szCs w:val="24"/>
              </w:rPr>
            </w:pPr>
            <w:r w:rsidRPr="00F76339">
              <w:rPr>
                <w:b/>
                <w:szCs w:val="24"/>
              </w:rPr>
              <w:t>Water</w:t>
            </w:r>
          </w:p>
        </w:tc>
        <w:tc>
          <w:tcPr>
            <w:tcW w:w="1733" w:type="dxa"/>
          </w:tcPr>
          <w:p w14:paraId="24DEF89E" w14:textId="77777777" w:rsidR="00F76339" w:rsidRPr="00F76339" w:rsidRDefault="00F76339" w:rsidP="00F76339">
            <w:pPr>
              <w:jc w:val="center"/>
              <w:rPr>
                <w:b/>
                <w:szCs w:val="24"/>
              </w:rPr>
            </w:pPr>
            <w:r w:rsidRPr="00F76339">
              <w:rPr>
                <w:b/>
                <w:szCs w:val="24"/>
              </w:rPr>
              <w:t>Sewer</w:t>
            </w:r>
          </w:p>
        </w:tc>
        <w:tc>
          <w:tcPr>
            <w:tcW w:w="1642" w:type="dxa"/>
          </w:tcPr>
          <w:p w14:paraId="18F48E3B" w14:textId="77777777" w:rsidR="00F76339" w:rsidRPr="00F76339" w:rsidRDefault="00F76339" w:rsidP="00F76339">
            <w:pPr>
              <w:jc w:val="center"/>
              <w:rPr>
                <w:b/>
                <w:szCs w:val="24"/>
              </w:rPr>
            </w:pPr>
            <w:r w:rsidRPr="00F76339">
              <w:rPr>
                <w:b/>
                <w:szCs w:val="24"/>
              </w:rPr>
              <w:t>Water</w:t>
            </w:r>
          </w:p>
        </w:tc>
        <w:tc>
          <w:tcPr>
            <w:tcW w:w="1688" w:type="dxa"/>
          </w:tcPr>
          <w:p w14:paraId="79013630" w14:textId="77777777" w:rsidR="00F76339" w:rsidRPr="00F76339" w:rsidRDefault="00F76339" w:rsidP="00F76339">
            <w:pPr>
              <w:jc w:val="center"/>
              <w:rPr>
                <w:b/>
                <w:szCs w:val="24"/>
              </w:rPr>
            </w:pPr>
            <w:r w:rsidRPr="00F76339">
              <w:rPr>
                <w:b/>
                <w:szCs w:val="24"/>
              </w:rPr>
              <w:t>Sewer</w:t>
            </w:r>
          </w:p>
        </w:tc>
      </w:tr>
      <w:tr w:rsidR="00F76339" w14:paraId="3BE0237E" w14:textId="77777777" w:rsidTr="00F4683B">
        <w:trPr>
          <w:jc w:val="center"/>
        </w:trPr>
        <w:tc>
          <w:tcPr>
            <w:tcW w:w="2785" w:type="dxa"/>
          </w:tcPr>
          <w:p w14:paraId="1DF7E1EA" w14:textId="77777777" w:rsidR="00F76339" w:rsidRPr="00F76339" w:rsidRDefault="00F76339" w:rsidP="00543781">
            <w:pPr>
              <w:jc w:val="left"/>
              <w:rPr>
                <w:b/>
                <w:szCs w:val="24"/>
              </w:rPr>
            </w:pPr>
            <w:r>
              <w:rPr>
                <w:b/>
                <w:szCs w:val="24"/>
              </w:rPr>
              <w:t>Net Plant</w:t>
            </w:r>
          </w:p>
        </w:tc>
        <w:tc>
          <w:tcPr>
            <w:tcW w:w="1687" w:type="dxa"/>
          </w:tcPr>
          <w:p w14:paraId="49A2A17A" w14:textId="77777777" w:rsidR="00F76339" w:rsidRDefault="00543781" w:rsidP="00543781">
            <w:pPr>
              <w:jc w:val="right"/>
              <w:rPr>
                <w:szCs w:val="24"/>
              </w:rPr>
            </w:pPr>
            <w:r>
              <w:rPr>
                <w:szCs w:val="24"/>
              </w:rPr>
              <w:t>$2,</w:t>
            </w:r>
            <w:r w:rsidR="00F76339">
              <w:rPr>
                <w:szCs w:val="24"/>
              </w:rPr>
              <w:t>188,228</w:t>
            </w:r>
          </w:p>
        </w:tc>
        <w:tc>
          <w:tcPr>
            <w:tcW w:w="1733" w:type="dxa"/>
          </w:tcPr>
          <w:p w14:paraId="7F19AC7E" w14:textId="77777777" w:rsidR="00F76339" w:rsidRDefault="00543781" w:rsidP="00543781">
            <w:pPr>
              <w:jc w:val="right"/>
              <w:rPr>
                <w:szCs w:val="24"/>
              </w:rPr>
            </w:pPr>
            <w:r>
              <w:rPr>
                <w:szCs w:val="24"/>
              </w:rPr>
              <w:t>$1,642,255</w:t>
            </w:r>
          </w:p>
        </w:tc>
        <w:tc>
          <w:tcPr>
            <w:tcW w:w="1642" w:type="dxa"/>
          </w:tcPr>
          <w:p w14:paraId="16FB628D" w14:textId="77777777" w:rsidR="00F76339" w:rsidRDefault="00543781" w:rsidP="00543781">
            <w:pPr>
              <w:jc w:val="right"/>
              <w:rPr>
                <w:szCs w:val="24"/>
              </w:rPr>
            </w:pPr>
            <w:r>
              <w:rPr>
                <w:szCs w:val="24"/>
              </w:rPr>
              <w:t>$785,987</w:t>
            </w:r>
          </w:p>
        </w:tc>
        <w:tc>
          <w:tcPr>
            <w:tcW w:w="1688" w:type="dxa"/>
          </w:tcPr>
          <w:p w14:paraId="4500699A" w14:textId="77777777" w:rsidR="00F76339" w:rsidRDefault="00543781" w:rsidP="00543781">
            <w:pPr>
              <w:jc w:val="right"/>
              <w:rPr>
                <w:szCs w:val="24"/>
              </w:rPr>
            </w:pPr>
            <w:r>
              <w:rPr>
                <w:szCs w:val="24"/>
              </w:rPr>
              <w:t>$574,728</w:t>
            </w:r>
          </w:p>
        </w:tc>
      </w:tr>
      <w:tr w:rsidR="00F76339" w14:paraId="39789052" w14:textId="77777777" w:rsidTr="00F4683B">
        <w:trPr>
          <w:jc w:val="center"/>
        </w:trPr>
        <w:tc>
          <w:tcPr>
            <w:tcW w:w="2785" w:type="dxa"/>
          </w:tcPr>
          <w:p w14:paraId="20BE7DDB" w14:textId="77777777" w:rsidR="00F76339" w:rsidRPr="00F76339" w:rsidRDefault="00F76339" w:rsidP="00543781">
            <w:pPr>
              <w:jc w:val="left"/>
              <w:rPr>
                <w:b/>
                <w:szCs w:val="24"/>
              </w:rPr>
            </w:pPr>
            <w:r w:rsidRPr="00F76339">
              <w:rPr>
                <w:b/>
                <w:szCs w:val="24"/>
              </w:rPr>
              <w:t>Cash Working Capital</w:t>
            </w:r>
          </w:p>
        </w:tc>
        <w:tc>
          <w:tcPr>
            <w:tcW w:w="1687" w:type="dxa"/>
          </w:tcPr>
          <w:p w14:paraId="46EEEF4F" w14:textId="77777777" w:rsidR="00F76339" w:rsidRDefault="00F76339" w:rsidP="00543781">
            <w:pPr>
              <w:jc w:val="right"/>
              <w:rPr>
                <w:szCs w:val="24"/>
              </w:rPr>
            </w:pPr>
            <w:r>
              <w:rPr>
                <w:szCs w:val="24"/>
              </w:rPr>
              <w:t>$24,568</w:t>
            </w:r>
          </w:p>
        </w:tc>
        <w:tc>
          <w:tcPr>
            <w:tcW w:w="1733" w:type="dxa"/>
          </w:tcPr>
          <w:p w14:paraId="575F7EBE" w14:textId="77777777" w:rsidR="00F76339" w:rsidRDefault="00543781" w:rsidP="00543781">
            <w:pPr>
              <w:jc w:val="right"/>
              <w:rPr>
                <w:szCs w:val="24"/>
              </w:rPr>
            </w:pPr>
            <w:r>
              <w:rPr>
                <w:szCs w:val="24"/>
              </w:rPr>
              <w:t>$24,568</w:t>
            </w:r>
          </w:p>
        </w:tc>
        <w:tc>
          <w:tcPr>
            <w:tcW w:w="1642" w:type="dxa"/>
          </w:tcPr>
          <w:p w14:paraId="058E1F16" w14:textId="77777777" w:rsidR="00F76339" w:rsidRDefault="00543781" w:rsidP="00543781">
            <w:pPr>
              <w:jc w:val="right"/>
              <w:rPr>
                <w:szCs w:val="24"/>
              </w:rPr>
            </w:pPr>
            <w:r>
              <w:rPr>
                <w:szCs w:val="24"/>
              </w:rPr>
              <w:t>$23,152</w:t>
            </w:r>
          </w:p>
        </w:tc>
        <w:tc>
          <w:tcPr>
            <w:tcW w:w="1688" w:type="dxa"/>
          </w:tcPr>
          <w:p w14:paraId="384B3D39" w14:textId="77777777" w:rsidR="00F76339" w:rsidRDefault="00543781" w:rsidP="00543781">
            <w:pPr>
              <w:jc w:val="right"/>
              <w:rPr>
                <w:szCs w:val="24"/>
              </w:rPr>
            </w:pPr>
            <w:r>
              <w:rPr>
                <w:szCs w:val="24"/>
              </w:rPr>
              <w:t>$28,823</w:t>
            </w:r>
          </w:p>
        </w:tc>
      </w:tr>
      <w:tr w:rsidR="00F76339" w14:paraId="1F5660A2" w14:textId="77777777" w:rsidTr="00F4683B">
        <w:trPr>
          <w:jc w:val="center"/>
        </w:trPr>
        <w:tc>
          <w:tcPr>
            <w:tcW w:w="2785" w:type="dxa"/>
          </w:tcPr>
          <w:p w14:paraId="614560BF" w14:textId="77777777" w:rsidR="00F76339" w:rsidRPr="00F76339" w:rsidRDefault="00F76339" w:rsidP="00543781">
            <w:pPr>
              <w:jc w:val="left"/>
              <w:rPr>
                <w:b/>
                <w:szCs w:val="24"/>
              </w:rPr>
            </w:pPr>
            <w:r w:rsidRPr="00F76339">
              <w:rPr>
                <w:b/>
                <w:szCs w:val="24"/>
              </w:rPr>
              <w:t>Developer Contributions</w:t>
            </w:r>
          </w:p>
        </w:tc>
        <w:tc>
          <w:tcPr>
            <w:tcW w:w="1687" w:type="dxa"/>
          </w:tcPr>
          <w:p w14:paraId="3D9D59C0" w14:textId="77777777" w:rsidR="00F76339" w:rsidRDefault="00F76339" w:rsidP="00543781">
            <w:pPr>
              <w:jc w:val="right"/>
              <w:rPr>
                <w:szCs w:val="24"/>
              </w:rPr>
            </w:pPr>
            <w:r>
              <w:rPr>
                <w:szCs w:val="24"/>
              </w:rPr>
              <w:t>($1,186,227)</w:t>
            </w:r>
          </w:p>
        </w:tc>
        <w:tc>
          <w:tcPr>
            <w:tcW w:w="1733" w:type="dxa"/>
          </w:tcPr>
          <w:p w14:paraId="5888F6D6" w14:textId="77777777" w:rsidR="00F76339" w:rsidRDefault="00543781" w:rsidP="00543781">
            <w:pPr>
              <w:jc w:val="right"/>
              <w:rPr>
                <w:szCs w:val="24"/>
              </w:rPr>
            </w:pPr>
            <w:r>
              <w:rPr>
                <w:szCs w:val="24"/>
              </w:rPr>
              <w:t>($137,457)</w:t>
            </w:r>
          </w:p>
        </w:tc>
        <w:tc>
          <w:tcPr>
            <w:tcW w:w="1642" w:type="dxa"/>
          </w:tcPr>
          <w:p w14:paraId="197252A6" w14:textId="77777777" w:rsidR="00F76339" w:rsidRDefault="00543781" w:rsidP="00543781">
            <w:pPr>
              <w:jc w:val="right"/>
              <w:rPr>
                <w:szCs w:val="24"/>
              </w:rPr>
            </w:pPr>
            <w:r>
              <w:rPr>
                <w:szCs w:val="24"/>
              </w:rPr>
              <w:t>($248,421)</w:t>
            </w:r>
          </w:p>
        </w:tc>
        <w:tc>
          <w:tcPr>
            <w:tcW w:w="1688" w:type="dxa"/>
          </w:tcPr>
          <w:p w14:paraId="51D97B27" w14:textId="77777777" w:rsidR="00F76339" w:rsidRDefault="00543781" w:rsidP="00543781">
            <w:pPr>
              <w:jc w:val="right"/>
              <w:rPr>
                <w:szCs w:val="24"/>
              </w:rPr>
            </w:pPr>
            <w:r>
              <w:rPr>
                <w:szCs w:val="24"/>
              </w:rPr>
              <w:t>($71,898)</w:t>
            </w:r>
          </w:p>
        </w:tc>
      </w:tr>
      <w:tr w:rsidR="00D43B18" w14:paraId="6EFFAA6D" w14:textId="77777777" w:rsidTr="00F4683B">
        <w:trPr>
          <w:jc w:val="center"/>
        </w:trPr>
        <w:tc>
          <w:tcPr>
            <w:tcW w:w="2785" w:type="dxa"/>
          </w:tcPr>
          <w:p w14:paraId="4FC5FC0B" w14:textId="77777777" w:rsidR="00D43B18" w:rsidRPr="00F76339" w:rsidRDefault="00D43B18" w:rsidP="00543781">
            <w:pPr>
              <w:jc w:val="left"/>
              <w:rPr>
                <w:b/>
                <w:szCs w:val="24"/>
              </w:rPr>
            </w:pPr>
            <w:r>
              <w:rPr>
                <w:b/>
                <w:szCs w:val="24"/>
              </w:rPr>
              <w:t xml:space="preserve">Total </w:t>
            </w:r>
          </w:p>
        </w:tc>
        <w:tc>
          <w:tcPr>
            <w:tcW w:w="1687" w:type="dxa"/>
          </w:tcPr>
          <w:p w14:paraId="79631FFD" w14:textId="77777777" w:rsidR="00D43B18" w:rsidRDefault="00D43B18" w:rsidP="00543781">
            <w:pPr>
              <w:jc w:val="right"/>
              <w:rPr>
                <w:szCs w:val="24"/>
              </w:rPr>
            </w:pPr>
            <w:r>
              <w:rPr>
                <w:szCs w:val="24"/>
              </w:rPr>
              <w:t>$1,026569</w:t>
            </w:r>
          </w:p>
        </w:tc>
        <w:tc>
          <w:tcPr>
            <w:tcW w:w="1733" w:type="dxa"/>
          </w:tcPr>
          <w:p w14:paraId="6ACF1FA0" w14:textId="77777777" w:rsidR="00D43B18" w:rsidRDefault="00D43B18" w:rsidP="00543781">
            <w:pPr>
              <w:jc w:val="right"/>
              <w:rPr>
                <w:szCs w:val="24"/>
              </w:rPr>
            </w:pPr>
            <w:r>
              <w:rPr>
                <w:szCs w:val="24"/>
              </w:rPr>
              <w:t>$1,527,949</w:t>
            </w:r>
          </w:p>
        </w:tc>
        <w:tc>
          <w:tcPr>
            <w:tcW w:w="1642" w:type="dxa"/>
          </w:tcPr>
          <w:p w14:paraId="26FD1A90" w14:textId="77777777" w:rsidR="00D43B18" w:rsidRDefault="00CA14AE" w:rsidP="00543781">
            <w:pPr>
              <w:jc w:val="right"/>
              <w:rPr>
                <w:szCs w:val="24"/>
              </w:rPr>
            </w:pPr>
            <w:r>
              <w:rPr>
                <w:szCs w:val="24"/>
              </w:rPr>
              <w:t>$</w:t>
            </w:r>
            <w:r w:rsidR="00D43B18">
              <w:rPr>
                <w:szCs w:val="24"/>
              </w:rPr>
              <w:t>573,335</w:t>
            </w:r>
          </w:p>
        </w:tc>
        <w:tc>
          <w:tcPr>
            <w:tcW w:w="1688" w:type="dxa"/>
          </w:tcPr>
          <w:p w14:paraId="56F0CD45" w14:textId="77777777" w:rsidR="00D43B18" w:rsidRDefault="00D43B18" w:rsidP="00543781">
            <w:pPr>
              <w:jc w:val="right"/>
              <w:rPr>
                <w:szCs w:val="24"/>
              </w:rPr>
            </w:pPr>
            <w:r>
              <w:rPr>
                <w:szCs w:val="24"/>
              </w:rPr>
              <w:t>$531,652</w:t>
            </w:r>
          </w:p>
        </w:tc>
      </w:tr>
    </w:tbl>
    <w:p w14:paraId="613A1A0C" w14:textId="77777777" w:rsidR="00473A35" w:rsidRDefault="00473A35" w:rsidP="00473A35">
      <w:pPr>
        <w:pStyle w:val="Heading1"/>
        <w:numPr>
          <w:ilvl w:val="0"/>
          <w:numId w:val="0"/>
        </w:numPr>
        <w:spacing w:after="0" w:line="240" w:lineRule="auto"/>
        <w:jc w:val="both"/>
        <w:rPr>
          <w:b w:val="0"/>
          <w:caps w:val="0"/>
          <w:sz w:val="24"/>
          <w:szCs w:val="24"/>
        </w:rPr>
      </w:pPr>
    </w:p>
    <w:p w14:paraId="0D062158" w14:textId="77777777" w:rsidR="00934190" w:rsidRDefault="00934190" w:rsidP="00473A35">
      <w:pPr>
        <w:pStyle w:val="Heading1"/>
        <w:numPr>
          <w:ilvl w:val="0"/>
          <w:numId w:val="0"/>
        </w:numPr>
        <w:spacing w:after="0" w:line="360" w:lineRule="auto"/>
        <w:jc w:val="both"/>
        <w:rPr>
          <w:b w:val="0"/>
          <w:caps w:val="0"/>
          <w:sz w:val="24"/>
          <w:szCs w:val="24"/>
        </w:rPr>
      </w:pPr>
      <w:r>
        <w:rPr>
          <w:b w:val="0"/>
          <w:caps w:val="0"/>
          <w:sz w:val="24"/>
          <w:szCs w:val="24"/>
        </w:rPr>
        <w:t xml:space="preserve">The PFD </w:t>
      </w:r>
      <w:r w:rsidR="00655281">
        <w:rPr>
          <w:b w:val="0"/>
          <w:caps w:val="0"/>
          <w:sz w:val="24"/>
          <w:szCs w:val="24"/>
        </w:rPr>
        <w:t>concluded that t</w:t>
      </w:r>
      <w:r w:rsidR="00655281" w:rsidRPr="00655281">
        <w:rPr>
          <w:b w:val="0"/>
          <w:caps w:val="0"/>
          <w:sz w:val="24"/>
          <w:szCs w:val="24"/>
        </w:rPr>
        <w:t>he pre</w:t>
      </w:r>
      <w:r w:rsidR="00655281">
        <w:rPr>
          <w:b w:val="0"/>
          <w:caps w:val="0"/>
          <w:sz w:val="24"/>
          <w:szCs w:val="24"/>
        </w:rPr>
        <w:t>ponderance of the evidence showed that the</w:t>
      </w:r>
      <w:r w:rsidR="00655281" w:rsidRPr="00655281">
        <w:rPr>
          <w:b w:val="0"/>
          <w:caps w:val="0"/>
          <w:sz w:val="24"/>
          <w:szCs w:val="24"/>
        </w:rPr>
        <w:t xml:space="preserve"> utility plant, property, and equipment used</w:t>
      </w:r>
      <w:r w:rsidR="00655281">
        <w:rPr>
          <w:b w:val="0"/>
          <w:caps w:val="0"/>
          <w:sz w:val="24"/>
          <w:szCs w:val="24"/>
        </w:rPr>
        <w:t xml:space="preserve"> </w:t>
      </w:r>
      <w:r w:rsidR="00655281" w:rsidRPr="00655281">
        <w:rPr>
          <w:b w:val="0"/>
          <w:caps w:val="0"/>
          <w:sz w:val="24"/>
          <w:szCs w:val="24"/>
        </w:rPr>
        <w:t>to service ratepayers at White Bluff</w:t>
      </w:r>
      <w:r w:rsidR="00655281">
        <w:rPr>
          <w:b w:val="0"/>
          <w:caps w:val="0"/>
          <w:sz w:val="24"/>
          <w:szCs w:val="24"/>
        </w:rPr>
        <w:t xml:space="preserve"> were funded in part by developer contributions.</w:t>
      </w:r>
      <w:r w:rsidR="00655281">
        <w:rPr>
          <w:rStyle w:val="FootnoteReference"/>
          <w:b w:val="0"/>
          <w:caps w:val="0"/>
          <w:szCs w:val="24"/>
        </w:rPr>
        <w:footnoteReference w:id="15"/>
      </w:r>
      <w:r w:rsidR="00655281">
        <w:rPr>
          <w:b w:val="0"/>
          <w:caps w:val="0"/>
          <w:sz w:val="24"/>
          <w:szCs w:val="24"/>
        </w:rPr>
        <w:t xml:space="preserve">  </w:t>
      </w:r>
      <w:r w:rsidR="008F7FE7">
        <w:rPr>
          <w:b w:val="0"/>
          <w:caps w:val="0"/>
          <w:sz w:val="24"/>
          <w:szCs w:val="24"/>
        </w:rPr>
        <w:t xml:space="preserve">However, the PFD also </w:t>
      </w:r>
      <w:r w:rsidR="00DA1C7C">
        <w:rPr>
          <w:b w:val="0"/>
          <w:caps w:val="0"/>
          <w:sz w:val="24"/>
          <w:szCs w:val="24"/>
        </w:rPr>
        <w:t xml:space="preserve">stated </w:t>
      </w:r>
      <w:r w:rsidR="00827003">
        <w:rPr>
          <w:b w:val="0"/>
          <w:caps w:val="0"/>
          <w:sz w:val="24"/>
          <w:szCs w:val="24"/>
        </w:rPr>
        <w:t xml:space="preserve">that the record was insufficient to allow for a finding </w:t>
      </w:r>
      <w:r w:rsidR="00655281">
        <w:rPr>
          <w:b w:val="0"/>
          <w:caps w:val="0"/>
          <w:sz w:val="24"/>
          <w:szCs w:val="24"/>
        </w:rPr>
        <w:t xml:space="preserve">as to the amount of developer </w:t>
      </w:r>
      <w:r w:rsidR="00827003">
        <w:rPr>
          <w:b w:val="0"/>
          <w:caps w:val="0"/>
          <w:sz w:val="24"/>
          <w:szCs w:val="24"/>
        </w:rPr>
        <w:t xml:space="preserve">contributions that were </w:t>
      </w:r>
      <w:r w:rsidR="00655281">
        <w:rPr>
          <w:b w:val="0"/>
          <w:caps w:val="0"/>
          <w:sz w:val="24"/>
          <w:szCs w:val="24"/>
        </w:rPr>
        <w:t xml:space="preserve">included in rate base or whether the 80-20 split accurately represented the amount of </w:t>
      </w:r>
      <w:r w:rsidR="00827003">
        <w:rPr>
          <w:b w:val="0"/>
          <w:caps w:val="0"/>
          <w:sz w:val="24"/>
          <w:szCs w:val="24"/>
        </w:rPr>
        <w:t>developer-contributed funds.</w:t>
      </w:r>
      <w:r w:rsidR="00DA1C7C">
        <w:rPr>
          <w:rStyle w:val="FootnoteReference"/>
          <w:b w:val="0"/>
          <w:caps w:val="0"/>
          <w:szCs w:val="24"/>
        </w:rPr>
        <w:footnoteReference w:id="16"/>
      </w:r>
      <w:r w:rsidR="008846AC">
        <w:rPr>
          <w:b w:val="0"/>
          <w:caps w:val="0"/>
          <w:sz w:val="24"/>
          <w:szCs w:val="24"/>
        </w:rPr>
        <w:t xml:space="preserve">  Accordingly</w:t>
      </w:r>
      <w:r w:rsidR="00631699">
        <w:rPr>
          <w:b w:val="0"/>
          <w:caps w:val="0"/>
          <w:sz w:val="24"/>
          <w:szCs w:val="24"/>
        </w:rPr>
        <w:t xml:space="preserve">, the ALJ recommended that White Bluff’s rate base include only those assets </w:t>
      </w:r>
      <w:r w:rsidR="008F7FE7" w:rsidRPr="008F7FE7">
        <w:rPr>
          <w:b w:val="0"/>
          <w:caps w:val="0"/>
          <w:sz w:val="24"/>
          <w:szCs w:val="24"/>
        </w:rPr>
        <w:t>which</w:t>
      </w:r>
      <w:r w:rsidR="008F7FE7">
        <w:rPr>
          <w:b w:val="0"/>
          <w:caps w:val="0"/>
          <w:sz w:val="24"/>
          <w:szCs w:val="24"/>
        </w:rPr>
        <w:t xml:space="preserve"> </w:t>
      </w:r>
      <w:r w:rsidR="00631699">
        <w:rPr>
          <w:b w:val="0"/>
          <w:caps w:val="0"/>
          <w:sz w:val="24"/>
          <w:szCs w:val="24"/>
        </w:rPr>
        <w:t>the evidence showed were funded by DDU</w:t>
      </w:r>
      <w:r w:rsidR="008846AC">
        <w:rPr>
          <w:b w:val="0"/>
          <w:caps w:val="0"/>
          <w:sz w:val="24"/>
          <w:szCs w:val="24"/>
        </w:rPr>
        <w:t>.</w:t>
      </w:r>
      <w:r w:rsidR="00473A35">
        <w:rPr>
          <w:rStyle w:val="FootnoteReference"/>
          <w:b w:val="0"/>
          <w:caps w:val="0"/>
          <w:szCs w:val="24"/>
        </w:rPr>
        <w:footnoteReference w:id="17"/>
      </w:r>
      <w:r w:rsidR="008846AC">
        <w:rPr>
          <w:b w:val="0"/>
          <w:caps w:val="0"/>
          <w:sz w:val="24"/>
          <w:szCs w:val="24"/>
        </w:rPr>
        <w:t xml:space="preserve">  Per the number running document, this amounted to </w:t>
      </w:r>
      <w:r w:rsidR="00631699">
        <w:rPr>
          <w:b w:val="0"/>
          <w:caps w:val="0"/>
          <w:sz w:val="24"/>
          <w:szCs w:val="24"/>
        </w:rPr>
        <w:t>4 assets from White Bluff water with a total net</w:t>
      </w:r>
      <w:r w:rsidR="00473A35">
        <w:rPr>
          <w:b w:val="0"/>
          <w:caps w:val="0"/>
          <w:sz w:val="24"/>
          <w:szCs w:val="24"/>
        </w:rPr>
        <w:t xml:space="preserve"> </w:t>
      </w:r>
      <w:r w:rsidR="00631699">
        <w:rPr>
          <w:b w:val="0"/>
          <w:caps w:val="0"/>
          <w:sz w:val="24"/>
          <w:szCs w:val="24"/>
        </w:rPr>
        <w:t>book value of $68,355.48</w:t>
      </w:r>
      <w:r w:rsidR="00631699">
        <w:rPr>
          <w:rStyle w:val="FootnoteReference"/>
          <w:b w:val="0"/>
          <w:caps w:val="0"/>
          <w:szCs w:val="24"/>
        </w:rPr>
        <w:footnoteReference w:id="18"/>
      </w:r>
      <w:r w:rsidR="00631699">
        <w:rPr>
          <w:b w:val="0"/>
          <w:caps w:val="0"/>
          <w:sz w:val="24"/>
          <w:szCs w:val="24"/>
        </w:rPr>
        <w:t xml:space="preserve"> </w:t>
      </w:r>
      <w:r w:rsidR="00473A35">
        <w:rPr>
          <w:b w:val="0"/>
          <w:caps w:val="0"/>
          <w:sz w:val="24"/>
          <w:szCs w:val="24"/>
        </w:rPr>
        <w:t>and 3 assets for White Bluff sewer with a total net book value of $24,029.64.</w:t>
      </w:r>
      <w:r w:rsidR="00473A35">
        <w:rPr>
          <w:rStyle w:val="FootnoteReference"/>
          <w:b w:val="0"/>
          <w:caps w:val="0"/>
          <w:szCs w:val="24"/>
        </w:rPr>
        <w:footnoteReference w:id="19"/>
      </w:r>
    </w:p>
    <w:p w14:paraId="3F39DE6C" w14:textId="77777777" w:rsidR="00473A35" w:rsidRPr="00473A35" w:rsidRDefault="00473A35" w:rsidP="00473A35"/>
    <w:p w14:paraId="2A16AA94" w14:textId="77777777" w:rsidR="00087269" w:rsidRDefault="009666D9" w:rsidP="00473A35">
      <w:pPr>
        <w:pStyle w:val="Heading1"/>
        <w:spacing w:after="0" w:line="360" w:lineRule="auto"/>
        <w:rPr>
          <w:sz w:val="24"/>
          <w:szCs w:val="24"/>
        </w:rPr>
      </w:pPr>
      <w:r w:rsidRPr="00BB1C1E">
        <w:rPr>
          <w:sz w:val="24"/>
          <w:szCs w:val="24"/>
        </w:rPr>
        <w:lastRenderedPageBreak/>
        <w:t>ARGUMENT</w:t>
      </w:r>
      <w:r w:rsidR="00CE7DA3" w:rsidRPr="00BB1C1E">
        <w:rPr>
          <w:sz w:val="24"/>
          <w:szCs w:val="24"/>
        </w:rPr>
        <w:t xml:space="preserve"> </w:t>
      </w:r>
      <w:r w:rsidR="00087269" w:rsidRPr="00BB1C1E">
        <w:rPr>
          <w:sz w:val="24"/>
          <w:szCs w:val="24"/>
        </w:rPr>
        <w:t xml:space="preserve"> </w:t>
      </w:r>
    </w:p>
    <w:p w14:paraId="429AC555" w14:textId="5E76014F" w:rsidR="00A94562" w:rsidRPr="00A94562" w:rsidRDefault="00A94562" w:rsidP="00B12E0F">
      <w:pPr>
        <w:spacing w:after="120" w:line="360" w:lineRule="auto"/>
      </w:pPr>
      <w:r>
        <w:tab/>
      </w:r>
      <w:r w:rsidR="00C033B2" w:rsidRPr="004C7815">
        <w:t xml:space="preserve">The dispute over the amount of contributions in aid of construction that should be deducted from DDU’s rate base </w:t>
      </w:r>
      <w:r w:rsidR="00985130" w:rsidRPr="004C7815">
        <w:t>stems from two main issues</w:t>
      </w:r>
      <w:r w:rsidR="00CC1621" w:rsidRPr="004C7815">
        <w:t xml:space="preserve">.  The first </w:t>
      </w:r>
      <w:r w:rsidR="00985130" w:rsidRPr="004C7815">
        <w:t xml:space="preserve">issue </w:t>
      </w:r>
      <w:r w:rsidR="00CC1621" w:rsidRPr="004C7815">
        <w:t xml:space="preserve">is </w:t>
      </w:r>
      <w:r w:rsidR="00C033B2" w:rsidRPr="004C7815">
        <w:t xml:space="preserve">whether DDU has met its burden of proof to show </w:t>
      </w:r>
      <w:r w:rsidR="00CC1621" w:rsidRPr="004C7815">
        <w:t xml:space="preserve">that the 80-20 split </w:t>
      </w:r>
      <w:r w:rsidR="00C033B2" w:rsidRPr="004C7815">
        <w:t>accurately rep</w:t>
      </w:r>
      <w:r w:rsidR="001A3CAF" w:rsidRPr="004C7815">
        <w:t>resents the amount of developer-</w:t>
      </w:r>
      <w:r w:rsidR="00C033B2" w:rsidRPr="004C7815">
        <w:t>contribu</w:t>
      </w:r>
      <w:r w:rsidR="00CC1621" w:rsidRPr="004C7815">
        <w:t xml:space="preserve">ted assets </w:t>
      </w:r>
      <w:r w:rsidR="00952904" w:rsidRPr="004C7815">
        <w:t xml:space="preserve">included in its utility plant.  </w:t>
      </w:r>
      <w:r w:rsidR="00CC1621" w:rsidRPr="004C7815">
        <w:t xml:space="preserve">The second </w:t>
      </w:r>
      <w:r w:rsidR="00985130" w:rsidRPr="004C7815">
        <w:t xml:space="preserve">issue </w:t>
      </w:r>
      <w:r w:rsidR="00CC1621" w:rsidRPr="004C7815">
        <w:t xml:space="preserve">is </w:t>
      </w:r>
      <w:r w:rsidR="00C033B2" w:rsidRPr="004C7815">
        <w:t xml:space="preserve">whether the </w:t>
      </w:r>
      <w:r w:rsidR="00CC1621" w:rsidRPr="004C7815">
        <w:t xml:space="preserve">Texas Supreme Court’s holding in </w:t>
      </w:r>
      <w:r w:rsidR="00CC1621" w:rsidRPr="004C7815">
        <w:rPr>
          <w:i/>
        </w:rPr>
        <w:t>Sunbelt Utilities v. Public Utility Commission of Texas</w:t>
      </w:r>
      <w:r w:rsidR="008229FD" w:rsidRPr="008229FD">
        <w:rPr>
          <w:rStyle w:val="FootnoteReference"/>
        </w:rPr>
        <w:footnoteReference w:id="20"/>
      </w:r>
      <w:r w:rsidR="00CC1621" w:rsidRPr="004C7815">
        <w:rPr>
          <w:i/>
        </w:rPr>
        <w:t xml:space="preserve"> </w:t>
      </w:r>
      <w:r w:rsidR="00CC1621" w:rsidRPr="004C7815">
        <w:t>is applicable to this case.</w:t>
      </w:r>
      <w:r w:rsidR="00952904" w:rsidRPr="004C7815">
        <w:t xml:space="preserve">  As explained below,</w:t>
      </w:r>
      <w:r w:rsidR="00573905" w:rsidRPr="004C7815">
        <w:t xml:space="preserve"> </w:t>
      </w:r>
      <w:r w:rsidR="007C72E7">
        <w:t xml:space="preserve">if </w:t>
      </w:r>
      <w:r w:rsidR="00573905" w:rsidRPr="004C7815">
        <w:t>the rule established in</w:t>
      </w:r>
      <w:r w:rsidR="00952904" w:rsidRPr="004C7815">
        <w:t xml:space="preserve"> </w:t>
      </w:r>
      <w:r w:rsidR="00573905" w:rsidRPr="004C7815">
        <w:rPr>
          <w:i/>
        </w:rPr>
        <w:t>Sunbelt</w:t>
      </w:r>
      <w:r w:rsidR="00573905" w:rsidRPr="004C7815">
        <w:t>—that recovery of the cost of utility plant through t</w:t>
      </w:r>
      <w:r w:rsidR="008D15FD">
        <w:t xml:space="preserve">he sale of lots is treated as </w:t>
      </w:r>
      <w:r w:rsidR="00573905" w:rsidRPr="004C7815">
        <w:t>customer contribution</w:t>
      </w:r>
      <w:r w:rsidR="008D15FD">
        <w:t>s</w:t>
      </w:r>
      <w:r w:rsidR="00573905" w:rsidRPr="004C7815">
        <w:t xml:space="preserve"> in aid of construction—is</w:t>
      </w:r>
      <w:r w:rsidR="008D15FD">
        <w:t xml:space="preserve"> </w:t>
      </w:r>
      <w:r w:rsidR="00573905" w:rsidRPr="004C7815">
        <w:t>applicable</w:t>
      </w:r>
      <w:r w:rsidR="001A3CAF" w:rsidRPr="004C7815">
        <w:t>,</w:t>
      </w:r>
      <w:r w:rsidR="008229FD">
        <w:rPr>
          <w:rStyle w:val="FootnoteReference"/>
        </w:rPr>
        <w:footnoteReference w:id="21"/>
      </w:r>
      <w:r w:rsidR="001A3CAF" w:rsidRPr="004C7815">
        <w:t xml:space="preserve"> it is the controlling issue.</w:t>
      </w:r>
      <w:r w:rsidR="007C72E7">
        <w:t xml:space="preserve">  </w:t>
      </w:r>
      <w:r w:rsidR="008D15FD">
        <w:t>In addition</w:t>
      </w:r>
      <w:r w:rsidR="007C72E7">
        <w:t xml:space="preserve">, applying </w:t>
      </w:r>
      <w:r w:rsidR="007C72E7">
        <w:rPr>
          <w:i/>
        </w:rPr>
        <w:t>Sunbelt</w:t>
      </w:r>
      <w:r w:rsidR="007C72E7">
        <w:t xml:space="preserve"> </w:t>
      </w:r>
      <w:r w:rsidR="001548F4">
        <w:t xml:space="preserve">would lower DDU’s revenue requirement even further because all customer-contributed assets would be excluded from its depreciation expense. </w:t>
      </w:r>
      <w:r w:rsidR="007C72E7">
        <w:t xml:space="preserve">  </w:t>
      </w:r>
      <w:r w:rsidR="001A3CAF" w:rsidRPr="004C7815">
        <w:t xml:space="preserve">  </w:t>
      </w:r>
    </w:p>
    <w:p w14:paraId="4691385A" w14:textId="2AF1AEEE" w:rsidR="00BB1C1E" w:rsidRPr="00BB1C1E" w:rsidRDefault="00A53016" w:rsidP="00F4683B">
      <w:pPr>
        <w:pStyle w:val="Heading2"/>
        <w:numPr>
          <w:ilvl w:val="0"/>
          <w:numId w:val="0"/>
        </w:numPr>
        <w:spacing w:line="240" w:lineRule="auto"/>
        <w:ind w:left="1440" w:hanging="720"/>
        <w:jc w:val="both"/>
        <w:rPr>
          <w:sz w:val="24"/>
          <w:szCs w:val="24"/>
        </w:rPr>
      </w:pPr>
      <w:r>
        <w:rPr>
          <w:sz w:val="24"/>
          <w:szCs w:val="24"/>
        </w:rPr>
        <w:t>1.</w:t>
      </w:r>
      <w:r>
        <w:rPr>
          <w:sz w:val="24"/>
          <w:szCs w:val="24"/>
        </w:rPr>
        <w:tab/>
      </w:r>
      <w:r w:rsidR="00BB1C1E">
        <w:rPr>
          <w:sz w:val="24"/>
          <w:szCs w:val="24"/>
        </w:rPr>
        <w:t>What is a developer contribution as that term is used in TWC § 13.183(j)?  What is a customer contribution as that term is used in TWC §§ 13.183(b), 13.185(b), and 13.185(j)?</w:t>
      </w:r>
    </w:p>
    <w:p w14:paraId="131C18D2" w14:textId="43C08125" w:rsidR="008D6507" w:rsidRDefault="00643B13" w:rsidP="00F4683B">
      <w:pPr>
        <w:spacing w:line="360" w:lineRule="auto"/>
        <w:ind w:firstLine="720"/>
        <w:rPr>
          <w:szCs w:val="24"/>
        </w:rPr>
      </w:pPr>
      <w:r>
        <w:rPr>
          <w:szCs w:val="24"/>
        </w:rPr>
        <w:t>The terms “contribution in aid of construction,” “customer contribution,” and “developer contribution” are not explicitly defined in either the TWC or Commission rules.  Nevertheless, all three constitute cost-free capital.</w:t>
      </w:r>
      <w:r w:rsidR="008229FD">
        <w:rPr>
          <w:rStyle w:val="FootnoteReference"/>
          <w:szCs w:val="24"/>
        </w:rPr>
        <w:footnoteReference w:id="22"/>
      </w:r>
      <w:r>
        <w:rPr>
          <w:szCs w:val="24"/>
        </w:rPr>
        <w:t xml:space="preserve">  Contributions in aid of construction are cost-free capital because they are funds used to purchase plant that are not supplied by the utility.</w:t>
      </w:r>
      <w:r>
        <w:rPr>
          <w:rStyle w:val="FootnoteReference"/>
          <w:szCs w:val="24"/>
        </w:rPr>
        <w:footnoteReference w:id="23"/>
      </w:r>
      <w:r>
        <w:rPr>
          <w:szCs w:val="24"/>
        </w:rPr>
        <w:t xml:space="preserve">  Cost-free capital is deducted from rate base to prevent a utility from earning a return on plant or other capital assets its investors did not pay for.</w:t>
      </w:r>
      <w:r>
        <w:rPr>
          <w:rStyle w:val="FootnoteReference"/>
          <w:szCs w:val="24"/>
        </w:rPr>
        <w:footnoteReference w:id="24"/>
      </w:r>
      <w:r>
        <w:rPr>
          <w:szCs w:val="24"/>
        </w:rPr>
        <w:t xml:space="preserve">  </w:t>
      </w:r>
    </w:p>
    <w:p w14:paraId="495FB8C5" w14:textId="1C1B22F0" w:rsidR="00F4683B" w:rsidRDefault="00A87CD7" w:rsidP="00F4683B">
      <w:pPr>
        <w:spacing w:line="360" w:lineRule="auto"/>
        <w:ind w:firstLine="720"/>
        <w:rPr>
          <w:szCs w:val="24"/>
        </w:rPr>
      </w:pPr>
      <w:r>
        <w:rPr>
          <w:szCs w:val="24"/>
        </w:rPr>
        <w:lastRenderedPageBreak/>
        <w:t>For the purposes of ratemaking, the</w:t>
      </w:r>
      <w:r w:rsidR="00287D4C">
        <w:rPr>
          <w:szCs w:val="24"/>
        </w:rPr>
        <w:t xml:space="preserve"> difference </w:t>
      </w:r>
      <w:r>
        <w:rPr>
          <w:szCs w:val="24"/>
        </w:rPr>
        <w:t xml:space="preserve">between a </w:t>
      </w:r>
      <w:r w:rsidR="008D6507">
        <w:rPr>
          <w:szCs w:val="24"/>
        </w:rPr>
        <w:t xml:space="preserve">customer contribution in aid of </w:t>
      </w:r>
      <w:r>
        <w:rPr>
          <w:szCs w:val="24"/>
        </w:rPr>
        <w:t>construction and a developer contribution in aid of construction lies in the calculatio</w:t>
      </w:r>
      <w:r w:rsidR="00F4683B">
        <w:rPr>
          <w:szCs w:val="24"/>
        </w:rPr>
        <w:t>n of the depreciation expense.</w:t>
      </w:r>
    </w:p>
    <w:p w14:paraId="7CA65E6A" w14:textId="3AF6EF0D" w:rsidR="00FD38EE" w:rsidRPr="00FD38EE" w:rsidRDefault="00F4683B" w:rsidP="00F4683B">
      <w:pPr>
        <w:spacing w:after="120"/>
        <w:ind w:left="1080" w:right="1080"/>
        <w:rPr>
          <w:szCs w:val="24"/>
        </w:rPr>
      </w:pPr>
      <w:r>
        <w:rPr>
          <w:szCs w:val="24"/>
        </w:rPr>
        <w:t xml:space="preserve">Depreciation </w:t>
      </w:r>
      <w:r w:rsidR="00FD38EE" w:rsidRPr="00F4683B">
        <w:rPr>
          <w:szCs w:val="24"/>
        </w:rPr>
        <w:t>expense included in the cost of service includes depreciation on all currently used, depreciable utility property owned by the utility except for property provided by explicit customer agreements or funded by customer contributions in aid of construction. Depreciation on all currently used and useful developer or governmental entity contributed property shall be allowed in the cost of service.</w:t>
      </w:r>
      <w:r w:rsidR="00FD38EE">
        <w:rPr>
          <w:rStyle w:val="FootnoteReference"/>
          <w:szCs w:val="24"/>
        </w:rPr>
        <w:footnoteReference w:id="25"/>
      </w:r>
    </w:p>
    <w:p w14:paraId="4C2BB2CE" w14:textId="08B9CECD" w:rsidR="00287D4C" w:rsidRDefault="00643B13" w:rsidP="00FD38EE">
      <w:pPr>
        <w:spacing w:line="360" w:lineRule="auto"/>
        <w:rPr>
          <w:szCs w:val="24"/>
        </w:rPr>
      </w:pPr>
      <w:r>
        <w:rPr>
          <w:szCs w:val="24"/>
        </w:rPr>
        <w:t>The depreciation expense may include property contributed by a developer or governmental entity</w:t>
      </w:r>
      <w:r w:rsidR="00FD38EE">
        <w:rPr>
          <w:szCs w:val="24"/>
        </w:rPr>
        <w:t>,</w:t>
      </w:r>
      <w:r>
        <w:rPr>
          <w:rStyle w:val="FootnoteReference"/>
          <w:szCs w:val="24"/>
        </w:rPr>
        <w:footnoteReference w:id="26"/>
      </w:r>
      <w:r w:rsidR="00A53016">
        <w:rPr>
          <w:szCs w:val="24"/>
        </w:rPr>
        <w:t xml:space="preserve"> </w:t>
      </w:r>
      <w:r w:rsidR="00FD38EE">
        <w:rPr>
          <w:szCs w:val="24"/>
        </w:rPr>
        <w:t>even though the utility has not paid for the depreciable asset.</w:t>
      </w:r>
      <w:r w:rsidR="00287D4C">
        <w:rPr>
          <w:szCs w:val="24"/>
        </w:rPr>
        <w:t xml:space="preserve">  The depreciation expense claimed by the utility may not include depreciation on </w:t>
      </w:r>
      <w:r w:rsidR="00287D4C" w:rsidRPr="003E2911">
        <w:rPr>
          <w:szCs w:val="24"/>
        </w:rPr>
        <w:t>property provided by explicit customer agreements or funded by customer contributions in aid of construction</w:t>
      </w:r>
      <w:r w:rsidR="00287D4C">
        <w:rPr>
          <w:szCs w:val="24"/>
        </w:rPr>
        <w:t>.</w:t>
      </w:r>
      <w:r w:rsidR="00287D4C">
        <w:rPr>
          <w:rStyle w:val="FootnoteReference"/>
          <w:szCs w:val="24"/>
        </w:rPr>
        <w:footnoteReference w:id="27"/>
      </w:r>
      <w:r w:rsidR="00287D4C">
        <w:rPr>
          <w:szCs w:val="24"/>
        </w:rPr>
        <w:t xml:space="preserve">  </w:t>
      </w:r>
    </w:p>
    <w:p w14:paraId="43776812" w14:textId="303AB41B" w:rsidR="00087269" w:rsidRDefault="00287D4C" w:rsidP="00BB1C1E">
      <w:pPr>
        <w:spacing w:after="120" w:line="360" w:lineRule="auto"/>
      </w:pPr>
      <w:r>
        <w:rPr>
          <w:szCs w:val="24"/>
        </w:rPr>
        <w:tab/>
      </w:r>
      <w:r w:rsidR="00A87CD7">
        <w:rPr>
          <w:szCs w:val="24"/>
        </w:rPr>
        <w:t>There is no difference in the treatment of customer and developer contributions when determining a utility’s invested capital</w:t>
      </w:r>
      <w:r w:rsidR="0055410D">
        <w:rPr>
          <w:szCs w:val="24"/>
        </w:rPr>
        <w:t>, also called rate base</w:t>
      </w:r>
      <w:r w:rsidR="0043243D">
        <w:rPr>
          <w:szCs w:val="24"/>
        </w:rPr>
        <w:t xml:space="preserve">, upon which a return to shareholders is </w:t>
      </w:r>
      <w:r w:rsidR="00FD38EE">
        <w:rPr>
          <w:szCs w:val="24"/>
        </w:rPr>
        <w:t>calculated</w:t>
      </w:r>
      <w:r w:rsidR="00A87CD7">
        <w:rPr>
          <w:szCs w:val="24"/>
        </w:rPr>
        <w:t xml:space="preserve">.  </w:t>
      </w:r>
      <w:r w:rsidR="007F2C30">
        <w:rPr>
          <w:szCs w:val="24"/>
        </w:rPr>
        <w:t xml:space="preserve">The Commission is required to set rates </w:t>
      </w:r>
      <w:r w:rsidR="00830663">
        <w:rPr>
          <w:szCs w:val="24"/>
        </w:rPr>
        <w:t xml:space="preserve">at a level that gives </w:t>
      </w:r>
      <w:r w:rsidR="009666D9">
        <w:rPr>
          <w:szCs w:val="24"/>
        </w:rPr>
        <w:t>a</w:t>
      </w:r>
      <w:r w:rsidR="00830663">
        <w:rPr>
          <w:szCs w:val="24"/>
        </w:rPr>
        <w:t xml:space="preserve"> utility </w:t>
      </w:r>
      <w:r w:rsidR="00830663" w:rsidRPr="00E31D5A">
        <w:t>the opportunity to earn a reasonable retu</w:t>
      </w:r>
      <w:r w:rsidR="00830663">
        <w:t xml:space="preserve">rn on its invested capital </w:t>
      </w:r>
      <w:r w:rsidR="00830663" w:rsidRPr="00E31D5A">
        <w:t>over and above its reasonable and ne</w:t>
      </w:r>
      <w:r w:rsidR="00830663">
        <w:t>cessary operating expenses</w:t>
      </w:r>
      <w:r w:rsidR="007F2C30">
        <w:rPr>
          <w:szCs w:val="24"/>
        </w:rPr>
        <w:t>.</w:t>
      </w:r>
      <w:r w:rsidR="007F2C30">
        <w:rPr>
          <w:rStyle w:val="FootnoteReference"/>
          <w:szCs w:val="24"/>
        </w:rPr>
        <w:footnoteReference w:id="28"/>
      </w:r>
      <w:r w:rsidR="00830663">
        <w:rPr>
          <w:szCs w:val="24"/>
        </w:rPr>
        <w:t xml:space="preserve">  The amount of a utility’s i</w:t>
      </w:r>
      <w:r w:rsidR="0055410D">
        <w:rPr>
          <w:szCs w:val="24"/>
        </w:rPr>
        <w:t xml:space="preserve">nvested capital </w:t>
      </w:r>
      <w:r w:rsidR="00830663">
        <w:rPr>
          <w:szCs w:val="24"/>
        </w:rPr>
        <w:t xml:space="preserve">is determined using the original cost of utility property </w:t>
      </w:r>
      <w:r w:rsidR="009666D9">
        <w:rPr>
          <w:szCs w:val="24"/>
        </w:rPr>
        <w:t xml:space="preserve">that is </w:t>
      </w:r>
      <w:r w:rsidR="00830663">
        <w:rPr>
          <w:szCs w:val="24"/>
        </w:rPr>
        <w:t>used and useful in providing service.</w:t>
      </w:r>
      <w:r w:rsidR="00830663">
        <w:rPr>
          <w:rStyle w:val="FootnoteReference"/>
          <w:szCs w:val="24"/>
        </w:rPr>
        <w:footnoteReference w:id="29"/>
      </w:r>
      <w:r w:rsidR="00830663">
        <w:rPr>
          <w:szCs w:val="24"/>
        </w:rPr>
        <w:t xml:space="preserve">  </w:t>
      </w:r>
      <w:r w:rsidR="00830663">
        <w:t xml:space="preserve">Original </w:t>
      </w:r>
      <w:r w:rsidR="00830663" w:rsidRPr="00FD38EE">
        <w:t>cost is the actual value</w:t>
      </w:r>
      <w:r w:rsidR="00830663">
        <w:t xml:space="preserve"> of the property at the time it is dedicated to public use</w:t>
      </w:r>
      <w:r w:rsidR="009666D9">
        <w:t>,</w:t>
      </w:r>
      <w:r w:rsidR="00830663">
        <w:t xml:space="preserve"> less depreciation.</w:t>
      </w:r>
      <w:r w:rsidR="00830663">
        <w:rPr>
          <w:rStyle w:val="FootnoteReference"/>
        </w:rPr>
        <w:footnoteReference w:id="30"/>
      </w:r>
      <w:r w:rsidR="00830663">
        <w:t xml:space="preserve">  It does not matter whether the utility that currently owns the property or a predecessor</w:t>
      </w:r>
      <w:r w:rsidR="009666D9">
        <w:t xml:space="preserve"> actually placed the property into service.</w:t>
      </w:r>
      <w:r w:rsidR="009666D9">
        <w:rPr>
          <w:rStyle w:val="FootnoteReference"/>
        </w:rPr>
        <w:footnoteReference w:id="31"/>
      </w:r>
      <w:r w:rsidR="009666D9">
        <w:t xml:space="preserve">  A utility may not include “property funded by explicit customer agreements or </w:t>
      </w:r>
      <w:r w:rsidR="009666D9">
        <w:lastRenderedPageBreak/>
        <w:t>customer contributions in aid of construction such as surcharges” in its rate base</w:t>
      </w:r>
      <w:r w:rsidR="00DE11CB">
        <w:t>.</w:t>
      </w:r>
      <w:r w:rsidR="009666D9">
        <w:rPr>
          <w:rStyle w:val="FootnoteReference"/>
        </w:rPr>
        <w:footnoteReference w:id="32"/>
      </w:r>
      <w:r w:rsidR="008D6507">
        <w:t xml:space="preserve">  </w:t>
      </w:r>
      <w:r w:rsidR="00DE11CB">
        <w:t xml:space="preserve">Additionally, </w:t>
      </w:r>
      <w:r w:rsidR="002B4342">
        <w:t xml:space="preserve">“contributions in aid of construction” </w:t>
      </w:r>
      <w:r w:rsidR="00DE11CB">
        <w:t xml:space="preserve">and “other sources of cost-free capital” are two </w:t>
      </w:r>
      <w:r w:rsidR="002B4342">
        <w:t xml:space="preserve">of the items specifically identified as </w:t>
      </w:r>
      <w:r w:rsidR="00DE11CB">
        <w:t>deductions</w:t>
      </w:r>
      <w:r w:rsidR="002B4342">
        <w:t xml:space="preserve"> from rate base</w:t>
      </w:r>
      <w:r w:rsidR="009C4D66">
        <w:t xml:space="preserve"> absent a showing of good cause</w:t>
      </w:r>
      <w:r w:rsidR="002B4342">
        <w:t>.</w:t>
      </w:r>
      <w:r w:rsidR="002B4342">
        <w:rPr>
          <w:rStyle w:val="FootnoteReference"/>
        </w:rPr>
        <w:footnoteReference w:id="33"/>
      </w:r>
      <w:r w:rsidR="002B4342">
        <w:t xml:space="preserve"> </w:t>
      </w:r>
      <w:r w:rsidR="009666D9">
        <w:t xml:space="preserve">  </w:t>
      </w:r>
    </w:p>
    <w:p w14:paraId="56E04F35" w14:textId="07AB2DEC" w:rsidR="00BB1C1E" w:rsidRPr="00BB1C1E" w:rsidRDefault="00A53016" w:rsidP="00F4683B">
      <w:pPr>
        <w:pStyle w:val="Heading3"/>
        <w:numPr>
          <w:ilvl w:val="0"/>
          <w:numId w:val="0"/>
        </w:numPr>
        <w:spacing w:line="240" w:lineRule="auto"/>
        <w:ind w:left="2160" w:hanging="720"/>
        <w:jc w:val="both"/>
        <w:rPr>
          <w:sz w:val="24"/>
          <w:szCs w:val="24"/>
        </w:rPr>
      </w:pPr>
      <w:r>
        <w:rPr>
          <w:sz w:val="24"/>
          <w:szCs w:val="24"/>
        </w:rPr>
        <w:t>a.</w:t>
      </w:r>
      <w:r>
        <w:rPr>
          <w:sz w:val="24"/>
          <w:szCs w:val="24"/>
        </w:rPr>
        <w:tab/>
      </w:r>
      <w:r w:rsidR="00BB1C1E" w:rsidRPr="00BB1C1E">
        <w:rPr>
          <w:sz w:val="24"/>
          <w:szCs w:val="24"/>
        </w:rPr>
        <w:t>What factors should be evaluated to determine whether an investment qualifies as developer contributed or customer contributed?</w:t>
      </w:r>
    </w:p>
    <w:p w14:paraId="707F771B" w14:textId="72D8916E" w:rsidR="00FB64E9" w:rsidRDefault="00287D4C" w:rsidP="00FB64E9">
      <w:pPr>
        <w:spacing w:line="360" w:lineRule="auto"/>
        <w:rPr>
          <w:szCs w:val="24"/>
        </w:rPr>
      </w:pPr>
      <w:r>
        <w:rPr>
          <w:szCs w:val="24"/>
        </w:rPr>
        <w:tab/>
      </w:r>
      <w:r w:rsidR="00B83643">
        <w:rPr>
          <w:szCs w:val="24"/>
        </w:rPr>
        <w:t>Staff notes that t</w:t>
      </w:r>
      <w:r w:rsidR="008D6507">
        <w:rPr>
          <w:szCs w:val="24"/>
        </w:rPr>
        <w:t>his</w:t>
      </w:r>
      <w:r w:rsidR="00B83643">
        <w:rPr>
          <w:szCs w:val="24"/>
        </w:rPr>
        <w:t xml:space="preserve"> question is a complex question that may be more appropriate for a rulemaking proceeding to permit the Commission to receive the input of all interested stakeholder</w:t>
      </w:r>
      <w:r w:rsidR="00C23390">
        <w:rPr>
          <w:szCs w:val="24"/>
        </w:rPr>
        <w:t>s</w:t>
      </w:r>
      <w:r w:rsidR="00740632">
        <w:rPr>
          <w:szCs w:val="24"/>
        </w:rPr>
        <w:t xml:space="preserve"> in order to develop a policy to be applied in all future cases</w:t>
      </w:r>
      <w:r w:rsidR="00B83643">
        <w:rPr>
          <w:szCs w:val="24"/>
        </w:rPr>
        <w:t xml:space="preserve">.  </w:t>
      </w:r>
      <w:r w:rsidR="00740632">
        <w:rPr>
          <w:szCs w:val="24"/>
        </w:rPr>
        <w:t xml:space="preserve">In this case, Staff recommends that the factors to be considered to determine whether an investment qualifies as </w:t>
      </w:r>
      <w:r w:rsidR="00EA5813">
        <w:rPr>
          <w:szCs w:val="24"/>
        </w:rPr>
        <w:t xml:space="preserve">utility funded, </w:t>
      </w:r>
      <w:r w:rsidR="00740632">
        <w:rPr>
          <w:szCs w:val="24"/>
        </w:rPr>
        <w:t>developer contributed</w:t>
      </w:r>
      <w:r w:rsidR="00EA5813">
        <w:rPr>
          <w:szCs w:val="24"/>
        </w:rPr>
        <w:t>,</w:t>
      </w:r>
      <w:r w:rsidR="00740632">
        <w:rPr>
          <w:szCs w:val="24"/>
        </w:rPr>
        <w:t xml:space="preserve"> or </w:t>
      </w:r>
      <w:r w:rsidR="00EA5813">
        <w:rPr>
          <w:szCs w:val="24"/>
        </w:rPr>
        <w:t>customer</w:t>
      </w:r>
      <w:r w:rsidR="00740632">
        <w:rPr>
          <w:szCs w:val="24"/>
        </w:rPr>
        <w:t xml:space="preserve"> contributed is the source of the investment at the time it is dedicated to public use.  </w:t>
      </w:r>
      <w:r w:rsidR="00FB64E9">
        <w:rPr>
          <w:szCs w:val="24"/>
        </w:rPr>
        <w:t>Central to the analysis is whether an entity other than the utility paid for a capital asset.  In cases where a utility is a wholly owned subsidiary of another company, this question could lead to an inquiry into the overall corporate structure of the parent company.  If the utility has one or more affiliates, details relevant to accounting practices, such as whether a joint financial statement or tax return is filed for all a</w:t>
      </w:r>
      <w:r w:rsidR="008D6507">
        <w:rPr>
          <w:szCs w:val="24"/>
        </w:rPr>
        <w:t>ffiliates, could impact the analysis</w:t>
      </w:r>
      <w:r w:rsidR="00FB64E9">
        <w:rPr>
          <w:szCs w:val="24"/>
        </w:rPr>
        <w:t xml:space="preserve">.  </w:t>
      </w:r>
    </w:p>
    <w:p w14:paraId="07CF8B2F" w14:textId="1F952868" w:rsidR="00FB64E9" w:rsidRDefault="00FB64E9" w:rsidP="00FB64E9">
      <w:pPr>
        <w:spacing w:line="360" w:lineRule="auto"/>
        <w:rPr>
          <w:szCs w:val="24"/>
        </w:rPr>
      </w:pPr>
      <w:r>
        <w:rPr>
          <w:szCs w:val="24"/>
        </w:rPr>
        <w:tab/>
        <w:t>The federal regulations regarding the treatment of contributions in aid of construction for tax purposes are also instructive.</w:t>
      </w:r>
      <w:r w:rsidR="008D6507">
        <w:rPr>
          <w:rStyle w:val="FootnoteReference"/>
          <w:szCs w:val="24"/>
        </w:rPr>
        <w:footnoteReference w:id="34"/>
      </w:r>
      <w:r w:rsidR="008D6507">
        <w:rPr>
          <w:szCs w:val="24"/>
        </w:rPr>
        <w:t xml:space="preserve">  </w:t>
      </w:r>
      <w:r>
        <w:rPr>
          <w:szCs w:val="24"/>
        </w:rPr>
        <w:t xml:space="preserve">Using these as a guide, the form of the funds used to purchase or construct an asset should be considered.  For example, if a developer loaned a utility the funds to construct a specific facility like a well, then the developer-supplied capital would no longer be cost-free once the loan was repaid.  Attention should also be given to the timing of the contribution of the funds as it relates to the date the asset purchased or constructed with the funds was placed into service.  If the funds are provided to reimburse the utility for an asset that is used and useful at the time the reimbursement is made, then thought should be given to what portion of the asset’s </w:t>
      </w:r>
      <w:r>
        <w:rPr>
          <w:szCs w:val="24"/>
        </w:rPr>
        <w:lastRenderedPageBreak/>
        <w:t>original cost is truly cost-free.  Finally, the specific terms of any written agreements that dictate the terms under which the funds are provided must be taken into account.</w:t>
      </w:r>
    </w:p>
    <w:p w14:paraId="72AFB2CD" w14:textId="0214663C" w:rsidR="00B83643" w:rsidRDefault="00F4683B" w:rsidP="00F4683B">
      <w:pPr>
        <w:spacing w:line="360" w:lineRule="auto"/>
        <w:ind w:firstLine="720"/>
        <w:rPr>
          <w:szCs w:val="24"/>
        </w:rPr>
      </w:pPr>
      <w:r>
        <w:rPr>
          <w:szCs w:val="24"/>
        </w:rPr>
        <w:t>The L</w:t>
      </w:r>
      <w:r w:rsidR="00852521">
        <w:rPr>
          <w:szCs w:val="24"/>
        </w:rPr>
        <w:t>egislature made</w:t>
      </w:r>
      <w:r w:rsidR="001442B4">
        <w:rPr>
          <w:szCs w:val="24"/>
        </w:rPr>
        <w:t xml:space="preserve"> a distinction regarding the recoverability of a return </w:t>
      </w:r>
      <w:r w:rsidR="001442B4" w:rsidRPr="00F4683B">
        <w:rPr>
          <w:i/>
          <w:szCs w:val="24"/>
        </w:rPr>
        <w:t>of</w:t>
      </w:r>
      <w:r>
        <w:rPr>
          <w:szCs w:val="24"/>
        </w:rPr>
        <w:t xml:space="preserve"> investment between </w:t>
      </w:r>
      <w:r w:rsidR="009D2FE6">
        <w:rPr>
          <w:szCs w:val="24"/>
        </w:rPr>
        <w:t>(</w:t>
      </w:r>
      <w:r w:rsidR="00B83643">
        <w:rPr>
          <w:szCs w:val="24"/>
        </w:rPr>
        <w:t xml:space="preserve">1) </w:t>
      </w:r>
      <w:r w:rsidR="00852521">
        <w:rPr>
          <w:szCs w:val="24"/>
        </w:rPr>
        <w:t>customer-</w:t>
      </w:r>
      <w:r w:rsidR="001442B4">
        <w:rPr>
          <w:szCs w:val="24"/>
        </w:rPr>
        <w:t xml:space="preserve">contributed capital and </w:t>
      </w:r>
      <w:r w:rsidR="009D2FE6">
        <w:rPr>
          <w:szCs w:val="24"/>
        </w:rPr>
        <w:t>(</w:t>
      </w:r>
      <w:r w:rsidR="00B83643">
        <w:rPr>
          <w:szCs w:val="24"/>
        </w:rPr>
        <w:t xml:space="preserve">2) </w:t>
      </w:r>
      <w:r w:rsidR="00852521">
        <w:rPr>
          <w:szCs w:val="24"/>
        </w:rPr>
        <w:t>developer or government-</w:t>
      </w:r>
      <w:r w:rsidR="001442B4">
        <w:rPr>
          <w:szCs w:val="24"/>
        </w:rPr>
        <w:t xml:space="preserve">contributed capital.  </w:t>
      </w:r>
      <w:r w:rsidR="00852521">
        <w:rPr>
          <w:szCs w:val="24"/>
        </w:rPr>
        <w:t>The Legislature permitted</w:t>
      </w:r>
      <w:r w:rsidR="001442B4">
        <w:rPr>
          <w:szCs w:val="24"/>
        </w:rPr>
        <w:t xml:space="preserve"> the recovery of a return of investment</w:t>
      </w:r>
      <w:r w:rsidR="00B83643">
        <w:rPr>
          <w:szCs w:val="24"/>
        </w:rPr>
        <w:t>, or depreciation,</w:t>
      </w:r>
      <w:r w:rsidR="00852521">
        <w:rPr>
          <w:szCs w:val="24"/>
        </w:rPr>
        <w:t xml:space="preserve"> for developer or government-</w:t>
      </w:r>
      <w:r w:rsidR="001442B4">
        <w:rPr>
          <w:szCs w:val="24"/>
        </w:rPr>
        <w:t xml:space="preserve">contributed capital despite the fact that the utility did </w:t>
      </w:r>
      <w:r w:rsidR="00C65FF5">
        <w:rPr>
          <w:szCs w:val="24"/>
        </w:rPr>
        <w:t>not make any investment fo</w:t>
      </w:r>
      <w:r>
        <w:rPr>
          <w:szCs w:val="24"/>
        </w:rPr>
        <w:t xml:space="preserve">r which recovery is permitted.  </w:t>
      </w:r>
      <w:r w:rsidR="00C23390">
        <w:rPr>
          <w:szCs w:val="24"/>
        </w:rPr>
        <w:t>Depreciation is an operating expense, and the TWC only permits recovery of “reasonable and necessary operating expenses.”</w:t>
      </w:r>
      <w:r w:rsidR="00C23390">
        <w:rPr>
          <w:rStyle w:val="FootnoteReference"/>
          <w:szCs w:val="24"/>
        </w:rPr>
        <w:footnoteReference w:id="35"/>
      </w:r>
      <w:r>
        <w:rPr>
          <w:szCs w:val="24"/>
        </w:rPr>
        <w:t xml:space="preserve">  </w:t>
      </w:r>
      <w:r w:rsidR="00B83643">
        <w:rPr>
          <w:szCs w:val="24"/>
        </w:rPr>
        <w:t xml:space="preserve">One factor that may weigh in favor of allowing a utility to recover a return of investment that is not made by the utility is that the depreciation expense recovered through rates increases </w:t>
      </w:r>
      <w:r w:rsidR="00740632">
        <w:rPr>
          <w:szCs w:val="24"/>
        </w:rPr>
        <w:t xml:space="preserve">the </w:t>
      </w:r>
      <w:r w:rsidR="00B83643">
        <w:rPr>
          <w:szCs w:val="24"/>
        </w:rPr>
        <w:t>utility’s cash flow, which may be used for reinvesting in or replacing contributed capital.</w:t>
      </w:r>
    </w:p>
    <w:p w14:paraId="5BFDAACB" w14:textId="75A10D9F" w:rsidR="00C65FF5" w:rsidRDefault="00852521" w:rsidP="00F4683B">
      <w:pPr>
        <w:spacing w:line="360" w:lineRule="auto"/>
        <w:ind w:firstLine="720"/>
        <w:rPr>
          <w:szCs w:val="24"/>
        </w:rPr>
      </w:pPr>
      <w:r>
        <w:rPr>
          <w:szCs w:val="24"/>
        </w:rPr>
        <w:t>Customer-</w:t>
      </w:r>
      <w:r w:rsidR="00C65FF5">
        <w:rPr>
          <w:szCs w:val="24"/>
        </w:rPr>
        <w:t>contributed capital is also not funded by the utility; however, customer</w:t>
      </w:r>
      <w:r>
        <w:rPr>
          <w:szCs w:val="24"/>
        </w:rPr>
        <w:t>-</w:t>
      </w:r>
      <w:r w:rsidR="00C65FF5">
        <w:rPr>
          <w:szCs w:val="24"/>
        </w:rPr>
        <w:t xml:space="preserve"> contributed capital is distinguishabl</w:t>
      </w:r>
      <w:r>
        <w:rPr>
          <w:szCs w:val="24"/>
        </w:rPr>
        <w:t>e from developer or government-</w:t>
      </w:r>
      <w:r w:rsidR="00C65FF5">
        <w:rPr>
          <w:szCs w:val="24"/>
        </w:rPr>
        <w:t xml:space="preserve">contributed capital in that the investment has already been </w:t>
      </w:r>
      <w:r w:rsidR="00C65FF5" w:rsidRPr="001D6E32">
        <w:rPr>
          <w:szCs w:val="24"/>
        </w:rPr>
        <w:t>directly</w:t>
      </w:r>
      <w:r w:rsidR="00C65FF5">
        <w:rPr>
          <w:szCs w:val="24"/>
        </w:rPr>
        <w:t xml:space="preserve"> paid for by customers.  </w:t>
      </w:r>
      <w:r w:rsidR="001D6E32">
        <w:rPr>
          <w:szCs w:val="24"/>
        </w:rPr>
        <w:t>Even so</w:t>
      </w:r>
      <w:r>
        <w:rPr>
          <w:szCs w:val="24"/>
        </w:rPr>
        <w:t>, developer or government</w:t>
      </w:r>
      <w:r w:rsidR="001D6E32">
        <w:rPr>
          <w:szCs w:val="24"/>
        </w:rPr>
        <w:t xml:space="preserve"> contributions are, theoretically, indirectly paid for by customers.</w:t>
      </w:r>
    </w:p>
    <w:p w14:paraId="764B87D5" w14:textId="429A8BD8" w:rsidR="00677460" w:rsidRDefault="00740632" w:rsidP="00F4683B">
      <w:pPr>
        <w:spacing w:line="360" w:lineRule="auto"/>
        <w:ind w:firstLine="720"/>
        <w:rPr>
          <w:szCs w:val="24"/>
        </w:rPr>
      </w:pPr>
      <w:r>
        <w:rPr>
          <w:szCs w:val="24"/>
        </w:rPr>
        <w:t>Another</w:t>
      </w:r>
      <w:r w:rsidR="008458AB">
        <w:rPr>
          <w:szCs w:val="24"/>
        </w:rPr>
        <w:t xml:space="preserve"> factor </w:t>
      </w:r>
      <w:r>
        <w:rPr>
          <w:szCs w:val="24"/>
        </w:rPr>
        <w:t xml:space="preserve">that may </w:t>
      </w:r>
      <w:r w:rsidR="005A5ED6">
        <w:rPr>
          <w:szCs w:val="24"/>
        </w:rPr>
        <w:t xml:space="preserve">be </w:t>
      </w:r>
      <w:r>
        <w:rPr>
          <w:szCs w:val="24"/>
        </w:rPr>
        <w:t xml:space="preserve">relevant </w:t>
      </w:r>
      <w:r w:rsidR="008458AB">
        <w:rPr>
          <w:szCs w:val="24"/>
        </w:rPr>
        <w:t>to determine whether</w:t>
      </w:r>
      <w:r w:rsidR="00203F62">
        <w:rPr>
          <w:szCs w:val="24"/>
        </w:rPr>
        <w:t xml:space="preserve"> an investment qualifies as </w:t>
      </w:r>
      <w:r w:rsidR="008458AB">
        <w:rPr>
          <w:szCs w:val="24"/>
        </w:rPr>
        <w:t>developer-contributed or custo</w:t>
      </w:r>
      <w:r w:rsidR="00203F62">
        <w:rPr>
          <w:szCs w:val="24"/>
        </w:rPr>
        <w:t xml:space="preserve">mer-contributed </w:t>
      </w:r>
      <w:r w:rsidR="001442B4">
        <w:rPr>
          <w:szCs w:val="24"/>
        </w:rPr>
        <w:t xml:space="preserve">is </w:t>
      </w:r>
      <w:r w:rsidR="00203F62">
        <w:rPr>
          <w:szCs w:val="24"/>
        </w:rPr>
        <w:t xml:space="preserve">the </w:t>
      </w:r>
      <w:r w:rsidR="001D6E32">
        <w:rPr>
          <w:szCs w:val="24"/>
        </w:rPr>
        <w:t>typical nature of the investment</w:t>
      </w:r>
      <w:r w:rsidR="001442B4">
        <w:rPr>
          <w:szCs w:val="24"/>
        </w:rPr>
        <w:t>.</w:t>
      </w:r>
      <w:r w:rsidR="001D6E32">
        <w:rPr>
          <w:szCs w:val="24"/>
        </w:rPr>
        <w:t xml:space="preserve">  Developer</w:t>
      </w:r>
      <w:r w:rsidR="00852521">
        <w:rPr>
          <w:szCs w:val="24"/>
        </w:rPr>
        <w:t>-</w:t>
      </w:r>
      <w:r w:rsidR="001D6E32">
        <w:rPr>
          <w:szCs w:val="24"/>
        </w:rPr>
        <w:t xml:space="preserve"> contributed capital may typically consist of the initial investment in a water system.</w:t>
      </w:r>
      <w:r w:rsidR="00203F62">
        <w:rPr>
          <w:szCs w:val="24"/>
        </w:rPr>
        <w:t xml:space="preserve">  </w:t>
      </w:r>
      <w:r w:rsidR="00852521">
        <w:rPr>
          <w:szCs w:val="24"/>
        </w:rPr>
        <w:t xml:space="preserve">Government </w:t>
      </w:r>
      <w:r>
        <w:rPr>
          <w:szCs w:val="24"/>
        </w:rPr>
        <w:t xml:space="preserve">contributions of capital can vary, but are often project based.  </w:t>
      </w:r>
      <w:r w:rsidR="00852521">
        <w:rPr>
          <w:szCs w:val="24"/>
        </w:rPr>
        <w:t>Customer-</w:t>
      </w:r>
      <w:r w:rsidR="001D6E32">
        <w:rPr>
          <w:szCs w:val="24"/>
        </w:rPr>
        <w:t xml:space="preserve">contributed capital most frequently consists of individual customer interconnections.  The TWC also classifies capital </w:t>
      </w:r>
      <w:r>
        <w:rPr>
          <w:szCs w:val="24"/>
        </w:rPr>
        <w:t>improvements that are not customer specific, but which are paid for through customer surcharges,</w:t>
      </w:r>
      <w:r w:rsidR="00852521">
        <w:rPr>
          <w:szCs w:val="24"/>
        </w:rPr>
        <w:t xml:space="preserve"> to be customer-</w:t>
      </w:r>
      <w:r>
        <w:rPr>
          <w:szCs w:val="24"/>
        </w:rPr>
        <w:t>contributed capital.</w:t>
      </w:r>
      <w:r>
        <w:rPr>
          <w:rStyle w:val="FootnoteReference"/>
          <w:szCs w:val="24"/>
        </w:rPr>
        <w:footnoteReference w:id="36"/>
      </w:r>
    </w:p>
    <w:p w14:paraId="7EDC0B80" w14:textId="473A5859" w:rsidR="0012243A" w:rsidRDefault="005A5ED6" w:rsidP="00852521">
      <w:pPr>
        <w:spacing w:line="360" w:lineRule="auto"/>
        <w:ind w:firstLine="720"/>
        <w:rPr>
          <w:szCs w:val="24"/>
        </w:rPr>
      </w:pPr>
      <w:r>
        <w:rPr>
          <w:szCs w:val="24"/>
        </w:rPr>
        <w:t xml:space="preserve">The question is further </w:t>
      </w:r>
      <w:r w:rsidR="00FB64E9">
        <w:rPr>
          <w:szCs w:val="24"/>
        </w:rPr>
        <w:t>complicated by scenarios where</w:t>
      </w:r>
      <w:r w:rsidR="001548F4">
        <w:rPr>
          <w:szCs w:val="24"/>
        </w:rPr>
        <w:t xml:space="preserve"> </w:t>
      </w:r>
      <w:r>
        <w:rPr>
          <w:szCs w:val="24"/>
        </w:rPr>
        <w:t>the initial investment may have been paid by customers, and subsequently dedicated by the developer to the utility</w:t>
      </w:r>
      <w:r w:rsidR="001548F4">
        <w:rPr>
          <w:szCs w:val="24"/>
        </w:rPr>
        <w:t>, or</w:t>
      </w:r>
      <w:r w:rsidR="00DE1760">
        <w:rPr>
          <w:szCs w:val="24"/>
        </w:rPr>
        <w:t xml:space="preserve"> </w:t>
      </w:r>
      <w:r w:rsidR="00FB64E9">
        <w:rPr>
          <w:szCs w:val="24"/>
        </w:rPr>
        <w:t xml:space="preserve">the initial investment may have been paid by </w:t>
      </w:r>
      <w:r w:rsidR="008740C1">
        <w:rPr>
          <w:szCs w:val="24"/>
        </w:rPr>
        <w:t>customers’</w:t>
      </w:r>
      <w:r w:rsidR="00FB64E9">
        <w:rPr>
          <w:szCs w:val="24"/>
        </w:rPr>
        <w:t xml:space="preserve"> payments to the developer, which is also the utility.</w:t>
      </w:r>
    </w:p>
    <w:p w14:paraId="5AB22C6D" w14:textId="11BF7A76" w:rsidR="00690987" w:rsidRPr="00DA65B9" w:rsidRDefault="00A53016" w:rsidP="00F4683B">
      <w:pPr>
        <w:pStyle w:val="Heading2"/>
        <w:numPr>
          <w:ilvl w:val="0"/>
          <w:numId w:val="0"/>
        </w:numPr>
        <w:spacing w:line="240" w:lineRule="auto"/>
        <w:ind w:left="1440" w:hanging="720"/>
        <w:jc w:val="both"/>
        <w:rPr>
          <w:sz w:val="24"/>
          <w:szCs w:val="24"/>
        </w:rPr>
      </w:pPr>
      <w:r>
        <w:rPr>
          <w:sz w:val="24"/>
          <w:szCs w:val="24"/>
        </w:rPr>
        <w:lastRenderedPageBreak/>
        <w:t>2.</w:t>
      </w:r>
      <w:r>
        <w:rPr>
          <w:sz w:val="24"/>
          <w:szCs w:val="24"/>
        </w:rPr>
        <w:tab/>
      </w:r>
      <w:r w:rsidR="00690987" w:rsidRPr="00DA65B9">
        <w:rPr>
          <w:sz w:val="24"/>
          <w:szCs w:val="24"/>
        </w:rPr>
        <w:t>How should the fact that Double Diamond, Inc. was both the developer and the utility at White Bluff through 1996 be considered in this analysis?</w:t>
      </w:r>
    </w:p>
    <w:p w14:paraId="005F466A" w14:textId="3ED82D31" w:rsidR="00617798" w:rsidRDefault="00690987" w:rsidP="00690987">
      <w:pPr>
        <w:spacing w:line="360" w:lineRule="auto"/>
      </w:pPr>
      <w:r>
        <w:tab/>
        <w:t>The fact that DDI was both the developer and the utility</w:t>
      </w:r>
      <w:r w:rsidR="00A11CD3">
        <w:t xml:space="preserve"> from 1991 through 1996</w:t>
      </w:r>
      <w:r>
        <w:t xml:space="preserve"> is </w:t>
      </w:r>
      <w:r w:rsidR="00303210">
        <w:t xml:space="preserve">pertinent </w:t>
      </w:r>
      <w:r w:rsidR="000014D2">
        <w:t xml:space="preserve">to determining which assets should be classified as </w:t>
      </w:r>
      <w:r w:rsidR="008740C1">
        <w:t xml:space="preserve">utility investment, </w:t>
      </w:r>
      <w:r w:rsidR="000014D2">
        <w:t>developer-contributed</w:t>
      </w:r>
      <w:r w:rsidR="00EA5813">
        <w:t xml:space="preserve"> investment</w:t>
      </w:r>
      <w:r w:rsidR="001C2FA2">
        <w:t>,</w:t>
      </w:r>
      <w:r w:rsidR="00F4683B">
        <w:t xml:space="preserve"> </w:t>
      </w:r>
      <w:r w:rsidR="008740C1">
        <w:t>or</w:t>
      </w:r>
      <w:r w:rsidR="00FA34E5">
        <w:t xml:space="preserve"> customer </w:t>
      </w:r>
      <w:r w:rsidR="008740C1">
        <w:t>contributed</w:t>
      </w:r>
      <w:r w:rsidR="00EA5813">
        <w:t xml:space="preserve"> investment</w:t>
      </w:r>
      <w:r w:rsidR="00A11CD3">
        <w:t xml:space="preserve">.  </w:t>
      </w:r>
      <w:r w:rsidR="00F77702">
        <w:t xml:space="preserve">Using the </w:t>
      </w:r>
      <w:r w:rsidR="003772EA">
        <w:t xml:space="preserve">White Bluff </w:t>
      </w:r>
      <w:r w:rsidR="009F4D35">
        <w:t>subdivision</w:t>
      </w:r>
      <w:r w:rsidR="003772EA">
        <w:t xml:space="preserve"> as an example, there are three important dates: (1) 1990-91, which marks the beginning of the construction of the original water</w:t>
      </w:r>
      <w:r w:rsidR="00617798">
        <w:t xml:space="preserve"> system;</w:t>
      </w:r>
      <w:r w:rsidR="00AB5F54">
        <w:rPr>
          <w:rStyle w:val="FootnoteReference"/>
        </w:rPr>
        <w:footnoteReference w:id="37"/>
      </w:r>
      <w:r w:rsidR="003772EA">
        <w:t xml:space="preserve"> (2) </w:t>
      </w:r>
      <w:r w:rsidR="00617798">
        <w:t>December 1996, which marks the formation of DDU;</w:t>
      </w:r>
      <w:r w:rsidR="00AB5F54">
        <w:rPr>
          <w:rStyle w:val="FootnoteReference"/>
        </w:rPr>
        <w:footnoteReference w:id="38"/>
      </w:r>
      <w:r w:rsidR="00617798">
        <w:t xml:space="preserve"> and (3) 2008, the year that all newly-constructed plant was treated as 100% utility-contributed.</w:t>
      </w:r>
      <w:r w:rsidR="00AB5F54">
        <w:rPr>
          <w:rStyle w:val="FootnoteReference"/>
        </w:rPr>
        <w:footnoteReference w:id="39"/>
      </w:r>
      <w:r w:rsidR="00617798">
        <w:t xml:space="preserve">  Because rate base is determined using original cost, and original cost is determined </w:t>
      </w:r>
      <w:r w:rsidR="000014D2">
        <w:t>by</w:t>
      </w:r>
      <w:r w:rsidR="00617798">
        <w:t xml:space="preserve"> the date an asset is placed into service, an argument </w:t>
      </w:r>
      <w:r w:rsidR="00303210">
        <w:t>can</w:t>
      </w:r>
      <w:r w:rsidR="00617798">
        <w:t xml:space="preserve"> be made that those assets paid for by DDI and placed into service prior to 1996 were assets paid for by the utility</w:t>
      </w:r>
      <w:r w:rsidR="008740C1">
        <w:t>, but partially funded through lot sales</w:t>
      </w:r>
      <w:r w:rsidR="00617798">
        <w:t>.</w:t>
      </w:r>
      <w:r w:rsidR="009F4D35">
        <w:t xml:space="preserve">  </w:t>
      </w:r>
      <w:r w:rsidR="00A609E8">
        <w:t xml:space="preserve">A </w:t>
      </w:r>
      <w:r w:rsidR="00617798">
        <w:t>review of the depreciati</w:t>
      </w:r>
      <w:r w:rsidR="00A609E8">
        <w:t>on schedule</w:t>
      </w:r>
      <w:r w:rsidR="00B52D0F">
        <w:t>s</w:t>
      </w:r>
      <w:r w:rsidR="00A609E8">
        <w:t xml:space="preserve"> for White Bluff shows that </w:t>
      </w:r>
      <w:r w:rsidR="009F4D35">
        <w:t xml:space="preserve">15 assets </w:t>
      </w:r>
      <w:r w:rsidR="00B52D0F">
        <w:t>in the water system</w:t>
      </w:r>
      <w:r w:rsidR="00B52D0F">
        <w:rPr>
          <w:rStyle w:val="FootnoteReference"/>
        </w:rPr>
        <w:footnoteReference w:id="40"/>
      </w:r>
      <w:r w:rsidR="00B52D0F">
        <w:t xml:space="preserve"> and 10 assets in the sewer system</w:t>
      </w:r>
      <w:r w:rsidR="00B52D0F">
        <w:rPr>
          <w:rStyle w:val="FootnoteReference"/>
        </w:rPr>
        <w:footnoteReference w:id="41"/>
      </w:r>
      <w:r w:rsidR="00B52D0F">
        <w:t xml:space="preserve"> </w:t>
      </w:r>
      <w:r w:rsidR="009F4D35">
        <w:t>were installed before December 1996</w:t>
      </w:r>
      <w:r w:rsidR="00B52D0F">
        <w:t>.</w:t>
      </w:r>
    </w:p>
    <w:p w14:paraId="621D0ACD" w14:textId="77777777" w:rsidR="008F580A" w:rsidRDefault="000014D2" w:rsidP="00690987">
      <w:pPr>
        <w:spacing w:line="360" w:lineRule="auto"/>
      </w:pPr>
      <w:r>
        <w:tab/>
      </w:r>
      <w:r w:rsidR="00DD3EDE">
        <w:t>The evidence illustrating how to c</w:t>
      </w:r>
      <w:r>
        <w:t>lassify</w:t>
      </w:r>
      <w:r w:rsidR="00DD3EDE">
        <w:t xml:space="preserve"> </w:t>
      </w:r>
      <w:r>
        <w:t xml:space="preserve">the assets installed </w:t>
      </w:r>
      <w:r w:rsidR="00DD3EDE">
        <w:t>once DDU was formed and assumed the role of utility (</w:t>
      </w:r>
      <w:r>
        <w:t>from 1997 on</w:t>
      </w:r>
      <w:r w:rsidR="00DD3EDE">
        <w:t>)</w:t>
      </w:r>
      <w:r w:rsidR="00303210">
        <w:t xml:space="preserve"> is a bit </w:t>
      </w:r>
      <w:r w:rsidR="00DD3EDE">
        <w:t>less concrete</w:t>
      </w:r>
      <w:r>
        <w:t>.</w:t>
      </w:r>
      <w:r w:rsidR="00FA34E5">
        <w:t xml:space="preserve">  In response to a request for information from WBRG,</w:t>
      </w:r>
      <w:r w:rsidR="008F580A">
        <w:t xml:space="preserve"> DDU provided the following timeline:</w:t>
      </w:r>
    </w:p>
    <w:p w14:paraId="0F344074" w14:textId="77777777" w:rsidR="008F580A" w:rsidRDefault="008F580A" w:rsidP="00851BE9">
      <w:pPr>
        <w:ind w:left="1080" w:right="1080"/>
      </w:pPr>
      <w:r>
        <w:t>Utility infrastructure has been in installed by Double Diamond Inc. (DDI),</w:t>
      </w:r>
    </w:p>
    <w:p w14:paraId="62996C2B" w14:textId="77777777" w:rsidR="00B52D0F" w:rsidRDefault="008F580A" w:rsidP="00851BE9">
      <w:pPr>
        <w:spacing w:after="120"/>
        <w:ind w:left="1080" w:right="1080"/>
      </w:pPr>
      <w:r>
        <w:t>Double Diamond Properties Construction (DDPC) or Double Diamond Utilities (DDU) at various times.  Before 1996, most all of infrastructure was constructed and paid for by DDI.  DDPC and DDU were created in December 1996. In 1997, DDPC began paying for most of the infrastructure, and DDU paid for a few items…As of the 2007-2008 rate case before the Texas Commission on Environmental Quality, most of the initial utility infrastructure was completed, and DDU begin paying for all utility assets and operations. The same contractors and employees worked for each entity that paid for the infrastructure.</w:t>
      </w:r>
      <w:r>
        <w:rPr>
          <w:rStyle w:val="FootnoteReference"/>
        </w:rPr>
        <w:footnoteReference w:id="42"/>
      </w:r>
      <w:r w:rsidR="00FA34E5">
        <w:t xml:space="preserve"> </w:t>
      </w:r>
      <w:r w:rsidR="000014D2">
        <w:t xml:space="preserve">  </w:t>
      </w:r>
    </w:p>
    <w:p w14:paraId="0E561C8A" w14:textId="4BA1416D" w:rsidR="001C2FA2" w:rsidRPr="00690987" w:rsidRDefault="00AB5F54" w:rsidP="00952904">
      <w:pPr>
        <w:spacing w:after="120" w:line="360" w:lineRule="auto"/>
      </w:pPr>
      <w:r>
        <w:lastRenderedPageBreak/>
        <w:t xml:space="preserve">This response </w:t>
      </w:r>
      <w:r w:rsidR="00851BE9">
        <w:t xml:space="preserve">along </w:t>
      </w:r>
      <w:r>
        <w:t>with the testimony of DDU witness Randy Gracy</w:t>
      </w:r>
      <w:r>
        <w:rPr>
          <w:rStyle w:val="FootnoteReference"/>
        </w:rPr>
        <w:footnoteReference w:id="43"/>
      </w:r>
      <w:r>
        <w:t xml:space="preserve"> </w:t>
      </w:r>
      <w:r w:rsidR="00851BE9">
        <w:t>supports a finding that</w:t>
      </w:r>
      <w:r>
        <w:t xml:space="preserve"> </w:t>
      </w:r>
      <w:r w:rsidR="00907715">
        <w:t xml:space="preserve">100% of the value of the </w:t>
      </w:r>
      <w:r>
        <w:t>assets dedicated</w:t>
      </w:r>
      <w:r w:rsidR="00907715">
        <w:t xml:space="preserve"> to public use between January 1, 1997 and December 31, 2007</w:t>
      </w:r>
      <w:r w:rsidR="00303210">
        <w:t>,</w:t>
      </w:r>
      <w:r w:rsidR="00907715">
        <w:t xml:space="preserve"> was </w:t>
      </w:r>
      <w:r w:rsidR="00BB72B1">
        <w:t xml:space="preserve">paid for by the developer and </w:t>
      </w:r>
      <w:r w:rsidR="00907715">
        <w:t>100% of the value of the assets dedicated to public use on or after January 1, 2008</w:t>
      </w:r>
      <w:r w:rsidR="00303210">
        <w:t>,</w:t>
      </w:r>
      <w:r w:rsidR="00907715">
        <w:t xml:space="preserve"> was </w:t>
      </w:r>
      <w:r w:rsidR="00BB72B1">
        <w:t xml:space="preserve">paid for by DDU.  </w:t>
      </w:r>
      <w:r w:rsidR="00851BE9">
        <w:t xml:space="preserve">Because </w:t>
      </w:r>
      <w:r>
        <w:t xml:space="preserve">DDU was unable to </w:t>
      </w:r>
      <w:r w:rsidR="003025A2">
        <w:t xml:space="preserve">produce </w:t>
      </w:r>
      <w:r w:rsidR="00C97788">
        <w:t xml:space="preserve">documentation </w:t>
      </w:r>
      <w:r w:rsidR="004F2C60">
        <w:t xml:space="preserve">showing which entity paid </w:t>
      </w:r>
      <w:r w:rsidR="00851BE9">
        <w:t>for 121 of the 190 (76</w:t>
      </w:r>
      <w:r w:rsidR="00C97788">
        <w:t>%</w:t>
      </w:r>
      <w:r w:rsidR="00851BE9">
        <w:t>)</w:t>
      </w:r>
      <w:r w:rsidR="00C97788">
        <w:t xml:space="preserve"> </w:t>
      </w:r>
      <w:r w:rsidR="00851BE9">
        <w:t xml:space="preserve">of the </w:t>
      </w:r>
      <w:r w:rsidR="00C97788">
        <w:t>assets</w:t>
      </w:r>
      <w:r w:rsidR="00851BE9">
        <w:t xml:space="preserve"> in the White Bluff water system</w:t>
      </w:r>
      <w:r w:rsidR="00851BE9">
        <w:rPr>
          <w:rStyle w:val="FootnoteReference"/>
        </w:rPr>
        <w:footnoteReference w:id="44"/>
      </w:r>
      <w:r w:rsidR="00851BE9">
        <w:t xml:space="preserve"> and 99 of the 125 (79%) of the assets in the White Bluff sewer system,</w:t>
      </w:r>
      <w:r w:rsidR="00851BE9">
        <w:rPr>
          <w:rStyle w:val="FootnoteReference"/>
        </w:rPr>
        <w:footnoteReference w:id="45"/>
      </w:r>
      <w:r w:rsidR="00851BE9">
        <w:t xml:space="preserve"> this discovery response is the most con</w:t>
      </w:r>
      <w:r w:rsidR="00DD3EDE">
        <w:t>crete evidence available.  Thus,</w:t>
      </w:r>
      <w:r w:rsidR="005A2815">
        <w:t xml:space="preserve"> if these assets were classified as developer-contributed (and not as customer-contributed)</w:t>
      </w:r>
      <w:r w:rsidR="00DD3EDE">
        <w:t xml:space="preserve"> the record</w:t>
      </w:r>
      <w:r w:rsidR="00851BE9">
        <w:t xml:space="preserve"> supports </w:t>
      </w:r>
      <w:r w:rsidR="005A2815">
        <w:t xml:space="preserve">a finding that </w:t>
      </w:r>
      <w:r w:rsidR="00DD3EDE">
        <w:t>all assets installed from 1997 through 2007</w:t>
      </w:r>
      <w:r w:rsidR="009E3ACE">
        <w:t xml:space="preserve"> for which no proof o</w:t>
      </w:r>
      <w:r w:rsidR="00DD3EDE">
        <w:t>f payment was provided</w:t>
      </w:r>
      <w:r w:rsidR="00B67734">
        <w:t xml:space="preserve"> </w:t>
      </w:r>
      <w:r w:rsidR="005A2815">
        <w:t xml:space="preserve">were </w:t>
      </w:r>
      <w:r w:rsidR="00DD3EDE">
        <w:t xml:space="preserve">100% developer-contributed and </w:t>
      </w:r>
      <w:r w:rsidR="005A2815">
        <w:t xml:space="preserve">that </w:t>
      </w:r>
      <w:r w:rsidR="00DD3EDE">
        <w:t>all assets installed on or after January 1, 2008,</w:t>
      </w:r>
      <w:r w:rsidR="00B67734">
        <w:t xml:space="preserve"> for which no proof of payment was provided</w:t>
      </w:r>
      <w:r w:rsidR="00DD3EDE">
        <w:t xml:space="preserve"> </w:t>
      </w:r>
      <w:r w:rsidR="005A2815">
        <w:t>were</w:t>
      </w:r>
      <w:r w:rsidR="00DD3EDE">
        <w:t xml:space="preserve"> 100% utility</w:t>
      </w:r>
      <w:r w:rsidR="009E3ACE">
        <w:t>-</w:t>
      </w:r>
      <w:r w:rsidR="00DD3EDE">
        <w:t xml:space="preserve">contributed. </w:t>
      </w:r>
    </w:p>
    <w:p w14:paraId="141AED05" w14:textId="27F35899" w:rsidR="00E63D0B" w:rsidRPr="00E63D0B" w:rsidRDefault="00A53016" w:rsidP="00F4683B">
      <w:pPr>
        <w:pStyle w:val="Heading3"/>
        <w:numPr>
          <w:ilvl w:val="0"/>
          <w:numId w:val="0"/>
        </w:numPr>
        <w:spacing w:line="240" w:lineRule="auto"/>
        <w:ind w:left="2160" w:hanging="720"/>
        <w:jc w:val="both"/>
        <w:rPr>
          <w:sz w:val="24"/>
          <w:szCs w:val="24"/>
        </w:rPr>
      </w:pPr>
      <w:r>
        <w:rPr>
          <w:sz w:val="24"/>
          <w:szCs w:val="24"/>
        </w:rPr>
        <w:t>a.</w:t>
      </w:r>
      <w:r>
        <w:rPr>
          <w:sz w:val="24"/>
          <w:szCs w:val="24"/>
        </w:rPr>
        <w:tab/>
      </w:r>
      <w:r w:rsidR="00E63D0B" w:rsidRPr="00690987">
        <w:rPr>
          <w:sz w:val="24"/>
          <w:szCs w:val="24"/>
        </w:rPr>
        <w:t xml:space="preserve">How should the Commission consider, if at all, the rationale of the court in </w:t>
      </w:r>
      <w:r w:rsidR="00E63D0B" w:rsidRPr="00690987">
        <w:rPr>
          <w:i/>
          <w:sz w:val="24"/>
          <w:szCs w:val="24"/>
        </w:rPr>
        <w:t xml:space="preserve">Sunbelt Utilities v. Public Utility Commission </w:t>
      </w:r>
      <w:r w:rsidR="00E63D0B" w:rsidRPr="00690987">
        <w:rPr>
          <w:sz w:val="24"/>
          <w:szCs w:val="24"/>
        </w:rPr>
        <w:t>in this analysis?</w:t>
      </w:r>
    </w:p>
    <w:p w14:paraId="773A413F" w14:textId="0035E0E3" w:rsidR="00EA5813" w:rsidRDefault="00690987" w:rsidP="00990A34">
      <w:pPr>
        <w:spacing w:line="360" w:lineRule="auto"/>
      </w:pPr>
      <w:r>
        <w:tab/>
      </w:r>
      <w:r w:rsidR="001C2FA2" w:rsidRPr="00690987">
        <w:rPr>
          <w:i/>
          <w:szCs w:val="24"/>
        </w:rPr>
        <w:t xml:space="preserve">Sunbelt </w:t>
      </w:r>
      <w:r w:rsidR="001C2FA2">
        <w:t xml:space="preserve">was decided prior to the enactment of the current version of the TWC, which explicitly distinguishes developer contributions and customer contributions.  </w:t>
      </w:r>
      <w:r w:rsidR="00990A34">
        <w:t xml:space="preserve">Although not identical to the facts in the record, the facts underlying the decision in </w:t>
      </w:r>
      <w:r w:rsidR="00990A34">
        <w:rPr>
          <w:i/>
        </w:rPr>
        <w:t xml:space="preserve">Sunbelt </w:t>
      </w:r>
      <w:r w:rsidR="00990A34">
        <w:t xml:space="preserve">are sufficiently similar to </w:t>
      </w:r>
      <w:r w:rsidR="001C2FA2">
        <w:t xml:space="preserve">inform the Commission in its interpretation of the TWC as applied to the specific facts of this case.  However, </w:t>
      </w:r>
      <w:r w:rsidR="00EA5813" w:rsidRPr="00F4683B">
        <w:rPr>
          <w:i/>
        </w:rPr>
        <w:t>Sunbelt</w:t>
      </w:r>
      <w:r w:rsidR="00EA5813">
        <w:t xml:space="preserve"> does not provide any insight as to th</w:t>
      </w:r>
      <w:r w:rsidR="00F7178A">
        <w:t>e distinction between developer-</w:t>
      </w:r>
      <w:r w:rsidR="00EA5813">
        <w:t>contributed capital and customer</w:t>
      </w:r>
      <w:r w:rsidR="00852521">
        <w:t>-</w:t>
      </w:r>
      <w:r w:rsidR="00EA5813">
        <w:t xml:space="preserve">contributed capital as the distinction did not exist at the time </w:t>
      </w:r>
      <w:r w:rsidR="00852521">
        <w:t xml:space="preserve">this case </w:t>
      </w:r>
      <w:r w:rsidR="00EA5813">
        <w:t>was decided.</w:t>
      </w:r>
      <w:r w:rsidR="00990A34">
        <w:t xml:space="preserve"> </w:t>
      </w:r>
    </w:p>
    <w:p w14:paraId="6803A4B7" w14:textId="19376334" w:rsidR="00FE48C9" w:rsidRDefault="00990A34" w:rsidP="00F4683B">
      <w:pPr>
        <w:spacing w:line="360" w:lineRule="auto"/>
        <w:ind w:firstLine="720"/>
      </w:pPr>
      <w:r>
        <w:t xml:space="preserve">The utility in </w:t>
      </w:r>
      <w:r w:rsidRPr="00F4683B">
        <w:rPr>
          <w:i/>
        </w:rPr>
        <w:t>Sunbelt</w:t>
      </w:r>
      <w:r>
        <w:t xml:space="preserve"> </w:t>
      </w:r>
      <w:r w:rsidR="00506057">
        <w:t>was structured as a partnership of five corporations under common ownership.</w:t>
      </w:r>
      <w:r w:rsidR="00AC634B">
        <w:rPr>
          <w:rStyle w:val="FootnoteReference"/>
        </w:rPr>
        <w:footnoteReference w:id="46"/>
      </w:r>
      <w:r w:rsidR="008229FD">
        <w:t xml:space="preserve"> </w:t>
      </w:r>
      <w:r w:rsidR="00AC634B">
        <w:t xml:space="preserve"> </w:t>
      </w:r>
      <w:r w:rsidR="00506057">
        <w:t>The utilities in each subdivision were installed by the developer</w:t>
      </w:r>
      <w:r w:rsidR="001F692A">
        <w:t>,</w:t>
      </w:r>
      <w:r w:rsidR="00506057">
        <w:t xml:space="preserve"> </w:t>
      </w:r>
      <w:r w:rsidR="00FE48C9">
        <w:t>and the utility systems were deeded to the utility company for the respective subdivision.</w:t>
      </w:r>
      <w:r w:rsidR="00AC634B">
        <w:rPr>
          <w:rStyle w:val="FootnoteReference"/>
        </w:rPr>
        <w:footnoteReference w:id="47"/>
      </w:r>
      <w:r w:rsidR="008229FD">
        <w:t xml:space="preserve">  </w:t>
      </w:r>
      <w:r w:rsidR="00FE48C9">
        <w:t xml:space="preserve">Pursuant to federal </w:t>
      </w:r>
      <w:r w:rsidR="00FE48C9">
        <w:lastRenderedPageBreak/>
        <w:t>income tax laws, the developer wrote off the entire cost of the utility system against the monies acquired through lot sales.</w:t>
      </w:r>
      <w:r w:rsidR="00AC634B">
        <w:rPr>
          <w:rStyle w:val="FootnoteReference"/>
        </w:rPr>
        <w:footnoteReference w:id="48"/>
      </w:r>
    </w:p>
    <w:p w14:paraId="6ED300C1" w14:textId="2CA44472" w:rsidR="008221AC" w:rsidRDefault="00FE48C9" w:rsidP="00DA65B9">
      <w:pPr>
        <w:spacing w:line="360" w:lineRule="auto"/>
      </w:pPr>
      <w:r>
        <w:tab/>
      </w:r>
      <w:r w:rsidR="00771BFE">
        <w:t>Sunbelt did not dispute the rule</w:t>
      </w:r>
      <w:r w:rsidR="00506057">
        <w:t xml:space="preserve"> that customer contributions in aid of construction are excluded from rate base</w:t>
      </w:r>
      <w:r w:rsidR="00771BFE">
        <w:t xml:space="preserve"> and agreed that any costs to construct the system that were recovered through lots sales should be carried over to the Sunbelt partnership due to the “identity of ownership” between the developer and the utilities</w:t>
      </w:r>
      <w:r w:rsidR="008229FD">
        <w:t>.</w:t>
      </w:r>
      <w:r w:rsidR="00AC634B">
        <w:rPr>
          <w:rStyle w:val="FootnoteReference"/>
        </w:rPr>
        <w:footnoteReference w:id="49"/>
      </w:r>
      <w:r w:rsidR="008229FD">
        <w:t xml:space="preserve">  </w:t>
      </w:r>
      <w:r>
        <w:t>To bridge the gap between developer contributions and customer contributions</w:t>
      </w:r>
      <w:r w:rsidR="00771BFE">
        <w:t xml:space="preserve">, the opinion </w:t>
      </w:r>
      <w:r>
        <w:t>framed the “pivotal” question in the case as follows: “</w:t>
      </w:r>
      <w:r w:rsidR="00771BFE">
        <w:t>[w]ere the developer’s costs of constructing the utility system recovered from the rate payers as part of the purchase price of their lots?”</w:t>
      </w:r>
      <w:r w:rsidR="00AC634B">
        <w:rPr>
          <w:rStyle w:val="FootnoteReference"/>
        </w:rPr>
        <w:footnoteReference w:id="50"/>
      </w:r>
      <w:r w:rsidR="008229FD">
        <w:t xml:space="preserve">  </w:t>
      </w:r>
      <w:r w:rsidR="001F692A">
        <w:t>Citing to cases from other states, the</w:t>
      </w:r>
      <w:r w:rsidR="00771BFE">
        <w:t xml:space="preserve"> Court held that </w:t>
      </w:r>
      <w:r w:rsidR="0097053A">
        <w:t>a developer’s costs for a utility system that are recovered through lot sales are treated as contribut</w:t>
      </w:r>
      <w:r w:rsidR="00DE4E2A">
        <w:t>ions in aid of construction.</w:t>
      </w:r>
      <w:r w:rsidR="00AC634B">
        <w:rPr>
          <w:rStyle w:val="FootnoteReference"/>
        </w:rPr>
        <w:footnoteReference w:id="51"/>
      </w:r>
      <w:r w:rsidR="00DE4E2A">
        <w:t xml:space="preserve">  In addition, the Court </w:t>
      </w:r>
      <w:r w:rsidR="0097053A">
        <w:t xml:space="preserve">rejected Sunbelt’s argument that </w:t>
      </w:r>
      <w:r w:rsidR="001F692A">
        <w:t>these cases did not apply because there was no evidence of an agreement that the cost of the utility systems was included in the lot prices</w:t>
      </w:r>
      <w:r w:rsidR="00DE4E2A">
        <w:t xml:space="preserve"> on the grounds that it is reasonable to infer that the </w:t>
      </w:r>
      <w:r w:rsidR="008A370A">
        <w:t>cost of</w:t>
      </w:r>
      <w:r w:rsidR="00DE4E2A">
        <w:t xml:space="preserve"> construct</w:t>
      </w:r>
      <w:r w:rsidR="008A370A">
        <w:t>ing</w:t>
      </w:r>
      <w:r w:rsidR="00DE4E2A">
        <w:t xml:space="preserve"> a u</w:t>
      </w:r>
      <w:r w:rsidR="008A370A">
        <w:t>tility system is reflected in the price of the lots</w:t>
      </w:r>
      <w:r w:rsidR="001F692A">
        <w:t>.</w:t>
      </w:r>
      <w:r w:rsidR="00AC634B">
        <w:rPr>
          <w:rStyle w:val="FootnoteReference"/>
        </w:rPr>
        <w:footnoteReference w:id="52"/>
      </w:r>
    </w:p>
    <w:p w14:paraId="2FD0EB1E" w14:textId="77777777" w:rsidR="00DA65B9" w:rsidRDefault="001F692A" w:rsidP="00DA65B9">
      <w:pPr>
        <w:spacing w:line="360" w:lineRule="auto"/>
      </w:pPr>
      <w:r>
        <w:tab/>
        <w:t>Here, the developer (</w:t>
      </w:r>
      <w:r w:rsidR="008A370A">
        <w:t xml:space="preserve">whether DDI or </w:t>
      </w:r>
      <w:r>
        <w:t>DDPC) and DDU have the same parent company, DDD.</w:t>
      </w:r>
      <w:r w:rsidR="00992883">
        <w:t xml:space="preserve">  It is also clear from the record that first DDI and then DDPC paid for and installed the utility plant placed into service from 1991 through 1997.  Furthermore, </w:t>
      </w:r>
      <w:r>
        <w:t xml:space="preserve">DDU has acknowledged that contributions in aid of construction are excluded from rate base through its decision to </w:t>
      </w:r>
      <w:r w:rsidR="00E63D0B">
        <w:t>remove “hypothetical” developer contributions</w:t>
      </w:r>
      <w:r w:rsidR="00E63D0B">
        <w:rPr>
          <w:rStyle w:val="FootnoteReference"/>
        </w:rPr>
        <w:footnoteReference w:id="53"/>
      </w:r>
      <w:r w:rsidR="00985130">
        <w:t xml:space="preserve"> in order to “keep the utility cost down for the customers</w:t>
      </w:r>
      <w:r>
        <w:t>.</w:t>
      </w:r>
      <w:r w:rsidR="00985130">
        <w:t>”</w:t>
      </w:r>
      <w:r w:rsidR="00E63D0B">
        <w:rPr>
          <w:rStyle w:val="FootnoteReference"/>
        </w:rPr>
        <w:footnoteReference w:id="54"/>
      </w:r>
      <w:r w:rsidR="00E63D0B">
        <w:t xml:space="preserve">  </w:t>
      </w:r>
      <w:r w:rsidR="00992883">
        <w:t xml:space="preserve">And, </w:t>
      </w:r>
      <w:r w:rsidR="00E63D0B">
        <w:t>DDU witness Tim Grout</w:t>
      </w:r>
      <w:r w:rsidR="00992883">
        <w:t xml:space="preserve"> testified that development costs, which include the costs of preparing a lot for sale, are expensed once a lot sold.</w:t>
      </w:r>
      <w:r w:rsidR="00992883">
        <w:rPr>
          <w:rStyle w:val="FootnoteReference"/>
        </w:rPr>
        <w:footnoteReference w:id="55"/>
      </w:r>
    </w:p>
    <w:p w14:paraId="7CD8B33D" w14:textId="77777777" w:rsidR="001F692A" w:rsidRDefault="00DA65B9" w:rsidP="009413FD">
      <w:pPr>
        <w:spacing w:line="360" w:lineRule="auto"/>
      </w:pPr>
      <w:r>
        <w:lastRenderedPageBreak/>
        <w:tab/>
      </w:r>
      <w:r w:rsidR="001830EE">
        <w:t xml:space="preserve">Most importantly, the lot sales agreement for White Bluff </w:t>
      </w:r>
      <w:r w:rsidR="0003758C">
        <w:t xml:space="preserve">makes an express distinction between providing and maintaining the utility system </w:t>
      </w:r>
      <w:r w:rsidR="008A370A">
        <w:t>and assigns</w:t>
      </w:r>
      <w:r w:rsidR="0003758C">
        <w:t xml:space="preserve"> responsibility for these tasks to the </w:t>
      </w:r>
      <w:r w:rsidR="001830EE">
        <w:t>Seller (DDI)</w:t>
      </w:r>
      <w:r w:rsidR="00F41958">
        <w:rPr>
          <w:rStyle w:val="FootnoteReference"/>
        </w:rPr>
        <w:footnoteReference w:id="56"/>
      </w:r>
      <w:r w:rsidR="001830EE">
        <w:t xml:space="preserve"> </w:t>
      </w:r>
      <w:r w:rsidR="0003758C">
        <w:t>and the utility (DDU) respectively.</w:t>
      </w:r>
      <w:r w:rsidR="0003758C">
        <w:rPr>
          <w:rStyle w:val="FootnoteReference"/>
        </w:rPr>
        <w:footnoteReference w:id="57"/>
      </w:r>
      <w:r w:rsidR="0003758C">
        <w:t xml:space="preserve">  The terms of this agreement constitute evidence that the sales price of a lot takes into account the cost of providing </w:t>
      </w:r>
      <w:r w:rsidR="00B339A6">
        <w:t>the utility system; t</w:t>
      </w:r>
      <w:r w:rsidR="009F7F45">
        <w:t>o read the contract otherwise would render the division</w:t>
      </w:r>
      <w:r w:rsidR="008A370A">
        <w:t xml:space="preserve"> of responsibilities between DDI</w:t>
      </w:r>
      <w:r w:rsidR="009F7F45">
        <w:t xml:space="preserve"> and DDU moot.</w:t>
      </w:r>
      <w:r w:rsidR="00B339A6">
        <w:t xml:space="preserve">  Because the </w:t>
      </w:r>
      <w:r w:rsidR="00B339A6">
        <w:rPr>
          <w:i/>
        </w:rPr>
        <w:t xml:space="preserve">Sunbelt </w:t>
      </w:r>
      <w:r w:rsidR="00B339A6">
        <w:t>dec</w:t>
      </w:r>
      <w:r w:rsidR="008A370A">
        <w:t>ision does not require any specific evidence</w:t>
      </w:r>
      <w:r w:rsidR="00A01C42">
        <w:t xml:space="preserve"> whatsoever</w:t>
      </w:r>
      <w:r w:rsidR="008A370A">
        <w:t xml:space="preserve"> that the cost of the utility system is included in the sales price</w:t>
      </w:r>
      <w:r w:rsidR="00A01C42">
        <w:t xml:space="preserve"> of a lot, the existence of the sales agreement is compelling.  </w:t>
      </w:r>
      <w:r w:rsidR="00C4688F">
        <w:t>And when added to the facts</w:t>
      </w:r>
      <w:r w:rsidR="00A01C42">
        <w:t xml:space="preserve"> recited above, it is reasonable to conclude</w:t>
      </w:r>
      <w:r w:rsidR="00EC4657">
        <w:t xml:space="preserve"> that the rule in </w:t>
      </w:r>
      <w:r w:rsidR="00EC4657">
        <w:rPr>
          <w:i/>
        </w:rPr>
        <w:t>Sunbelt</w:t>
      </w:r>
      <w:r w:rsidR="00EC4657">
        <w:t xml:space="preserve"> applies to DDU and that the costs of constructing all utility plant</w:t>
      </w:r>
      <w:r w:rsidR="00A01C42">
        <w:t>, no matter what date an asset was installed,</w:t>
      </w:r>
      <w:r w:rsidR="00EC4657">
        <w:t xml:space="preserve"> are properly classified as customer contributions in aid of construction.</w:t>
      </w:r>
    </w:p>
    <w:p w14:paraId="51ADA7A3" w14:textId="715308EF" w:rsidR="00696C5C" w:rsidRPr="00EC4657" w:rsidRDefault="009413FD" w:rsidP="00DA65B9">
      <w:pPr>
        <w:spacing w:after="120" w:line="360" w:lineRule="auto"/>
      </w:pPr>
      <w:r>
        <w:tab/>
        <w:t xml:space="preserve">Should the Commission apply </w:t>
      </w:r>
      <w:r>
        <w:rPr>
          <w:i/>
        </w:rPr>
        <w:t>Sunbelt</w:t>
      </w:r>
      <w:r>
        <w:t xml:space="preserve">, it is important to note the record developed in the instant case is unclear as to exactly what proportion of the White Bluff assets were funded by customers through lot sales.  This question was not an issue the </w:t>
      </w:r>
      <w:r w:rsidR="00645055">
        <w:t xml:space="preserve">Texas </w:t>
      </w:r>
      <w:r>
        <w:t xml:space="preserve">Supreme Court considered </w:t>
      </w:r>
      <w:r w:rsidR="00184CE2">
        <w:t xml:space="preserve">in </w:t>
      </w:r>
      <w:r w:rsidR="00184CE2" w:rsidRPr="00DE1760">
        <w:rPr>
          <w:i/>
        </w:rPr>
        <w:t>Sunbelt</w:t>
      </w:r>
      <w:r w:rsidR="00184CE2">
        <w:t xml:space="preserve"> </w:t>
      </w:r>
      <w:r w:rsidR="00B363AE">
        <w:t>because the developer admitted to writing off the full cost of the utility systems against the revenues derived from lot sales for income tax purposes.</w:t>
      </w:r>
      <w:r w:rsidR="00B363AE">
        <w:rPr>
          <w:rStyle w:val="FootnoteReference"/>
        </w:rPr>
        <w:footnoteReference w:id="58"/>
      </w:r>
      <w:r w:rsidR="00645055">
        <w:t xml:space="preserve">  Therefore, it would be appropriate to consider the information in the record that does exist—namely the amount of assets on DDU’s books for depreciation purposes—when determining </w:t>
      </w:r>
      <w:r w:rsidR="00696C5C">
        <w:t>how much</w:t>
      </w:r>
      <w:r w:rsidR="00645055">
        <w:t xml:space="preserve"> of </w:t>
      </w:r>
      <w:r w:rsidR="00696C5C">
        <w:t>White Bluff’s water and sewer plant was</w:t>
      </w:r>
      <w:r w:rsidR="00645055">
        <w:t xml:space="preserve"> recovered through lot sales.</w:t>
      </w:r>
    </w:p>
    <w:p w14:paraId="20612718" w14:textId="315E1044" w:rsidR="00203F62" w:rsidRPr="00E63D0B" w:rsidRDefault="00A53016" w:rsidP="00F7178A">
      <w:pPr>
        <w:pStyle w:val="Heading3"/>
        <w:numPr>
          <w:ilvl w:val="0"/>
          <w:numId w:val="0"/>
        </w:numPr>
        <w:spacing w:line="240" w:lineRule="auto"/>
        <w:ind w:left="2160" w:hanging="720"/>
        <w:jc w:val="both"/>
        <w:rPr>
          <w:sz w:val="24"/>
          <w:szCs w:val="24"/>
        </w:rPr>
      </w:pPr>
      <w:r>
        <w:rPr>
          <w:sz w:val="24"/>
          <w:szCs w:val="24"/>
        </w:rPr>
        <w:t>b.</w:t>
      </w:r>
      <w:r>
        <w:rPr>
          <w:sz w:val="24"/>
          <w:szCs w:val="24"/>
        </w:rPr>
        <w:tab/>
      </w:r>
      <w:r w:rsidR="00E63D0B" w:rsidRPr="00E63D0B">
        <w:rPr>
          <w:sz w:val="24"/>
          <w:szCs w:val="24"/>
        </w:rPr>
        <w:t>How should the Commission consider the fact that Double Diamond, Inc. contractually obligated itself through deeds to provide and complete the central water system and central sewer system at White Bluff, while the utility company as listed as the party responsible for maintaining the systems?</w:t>
      </w:r>
    </w:p>
    <w:p w14:paraId="62E9F4C1" w14:textId="717B52E6" w:rsidR="00645055" w:rsidRPr="00F86268" w:rsidRDefault="0003758C" w:rsidP="00645055">
      <w:pPr>
        <w:spacing w:line="360" w:lineRule="auto"/>
        <w:rPr>
          <w:szCs w:val="24"/>
        </w:rPr>
      </w:pPr>
      <w:r>
        <w:rPr>
          <w:szCs w:val="24"/>
        </w:rPr>
        <w:tab/>
        <w:t>The answer to this question is discussed in the preceding section.</w:t>
      </w:r>
      <w:r w:rsidR="00645055">
        <w:rPr>
          <w:szCs w:val="24"/>
        </w:rPr>
        <w:t xml:space="preserve">  Additionally, Staff does not oppose the</w:t>
      </w:r>
      <w:r w:rsidR="00696C5C">
        <w:rPr>
          <w:szCs w:val="24"/>
        </w:rPr>
        <w:t xml:space="preserve"> motion to reopen</w:t>
      </w:r>
      <w:r w:rsidR="00645055">
        <w:rPr>
          <w:szCs w:val="24"/>
        </w:rPr>
        <w:t xml:space="preserve"> the record </w:t>
      </w:r>
      <w:r w:rsidR="00696C5C">
        <w:rPr>
          <w:szCs w:val="24"/>
        </w:rPr>
        <w:t xml:space="preserve">filed by </w:t>
      </w:r>
      <w:r w:rsidR="00645055">
        <w:rPr>
          <w:szCs w:val="24"/>
        </w:rPr>
        <w:t>The Cliffs Utility Committee</w:t>
      </w:r>
      <w:r w:rsidR="00696C5C">
        <w:rPr>
          <w:rStyle w:val="FootnoteReference"/>
          <w:szCs w:val="24"/>
        </w:rPr>
        <w:footnoteReference w:id="59"/>
      </w:r>
      <w:r w:rsidR="00645055">
        <w:rPr>
          <w:szCs w:val="24"/>
        </w:rPr>
        <w:t xml:space="preserve"> in the event </w:t>
      </w:r>
      <w:r w:rsidR="00645055">
        <w:rPr>
          <w:szCs w:val="24"/>
        </w:rPr>
        <w:lastRenderedPageBreak/>
        <w:t xml:space="preserve">that the Commission decides that </w:t>
      </w:r>
      <w:r w:rsidR="00645055">
        <w:rPr>
          <w:i/>
          <w:szCs w:val="24"/>
        </w:rPr>
        <w:t>Sunbelt</w:t>
      </w:r>
      <w:r w:rsidR="00645055">
        <w:rPr>
          <w:szCs w:val="24"/>
        </w:rPr>
        <w:t xml:space="preserve"> is dispositive regarding customer contributions in aid of construction.</w:t>
      </w:r>
    </w:p>
    <w:p w14:paraId="1CDE6DDF" w14:textId="12F212FE" w:rsidR="0003758C" w:rsidRDefault="00645055" w:rsidP="00E16411">
      <w:pPr>
        <w:spacing w:line="360" w:lineRule="auto"/>
        <w:rPr>
          <w:szCs w:val="24"/>
        </w:rPr>
      </w:pPr>
      <w:r>
        <w:rPr>
          <w:szCs w:val="24"/>
        </w:rPr>
        <w:t xml:space="preserve">  </w:t>
      </w:r>
      <w:r w:rsidR="00C4688F">
        <w:rPr>
          <w:szCs w:val="24"/>
        </w:rPr>
        <w:t xml:space="preserve">  </w:t>
      </w:r>
    </w:p>
    <w:p w14:paraId="1C29B4A5" w14:textId="77777777" w:rsidR="00697D3C" w:rsidRPr="0003758C" w:rsidRDefault="00697D3C" w:rsidP="00C4688F">
      <w:pPr>
        <w:pStyle w:val="Heading1"/>
        <w:spacing w:after="0" w:line="360" w:lineRule="auto"/>
        <w:rPr>
          <w:sz w:val="24"/>
          <w:szCs w:val="24"/>
        </w:rPr>
      </w:pPr>
      <w:r w:rsidRPr="0003758C">
        <w:rPr>
          <w:sz w:val="24"/>
          <w:szCs w:val="24"/>
        </w:rPr>
        <w:t>CONCLUSION</w:t>
      </w:r>
    </w:p>
    <w:p w14:paraId="307DCEEA" w14:textId="1FEEBEA1" w:rsidR="00852521" w:rsidRDefault="00024A22" w:rsidP="00697D3C">
      <w:pPr>
        <w:spacing w:line="360" w:lineRule="auto"/>
        <w:rPr>
          <w:szCs w:val="24"/>
        </w:rPr>
      </w:pPr>
      <w:r>
        <w:rPr>
          <w:szCs w:val="24"/>
        </w:rPr>
        <w:t xml:space="preserve"> </w:t>
      </w:r>
      <w:r>
        <w:rPr>
          <w:szCs w:val="24"/>
        </w:rPr>
        <w:tab/>
      </w:r>
      <w:r w:rsidR="009D2FE6">
        <w:rPr>
          <w:szCs w:val="24"/>
        </w:rPr>
        <w:t xml:space="preserve">As explained above, the legal framework to be applied to this case is as follows: (1) any assets classified as customer-contributed must be deducted from the depreciation expense; (2) any assets classified as developer-contributed may be included in the depreciation expense; (3) contributions in aid of construction and other cost-free capital must be deducted from rate base; and (4) </w:t>
      </w:r>
      <w:r w:rsidR="00AE48E5">
        <w:rPr>
          <w:szCs w:val="24"/>
        </w:rPr>
        <w:t>the Commission has the discretion to include contributions in aid of construction in rate base “for good cause shown.”</w:t>
      </w:r>
      <w:r w:rsidR="00C5569E">
        <w:rPr>
          <w:szCs w:val="24"/>
        </w:rPr>
        <w:t xml:space="preserve">  Applying this framework, the record is clear </w:t>
      </w:r>
      <w:r w:rsidR="009D2FE6">
        <w:rPr>
          <w:szCs w:val="24"/>
        </w:rPr>
        <w:t xml:space="preserve">that that DDU should not be entitled to earn a return on all of the utility plant in the White Bluff subdivision because at least a portion of those assets are developer-contributed, customer-contributed or both.  </w:t>
      </w:r>
    </w:p>
    <w:p w14:paraId="751FC6E6" w14:textId="77777777" w:rsidR="00645055" w:rsidRDefault="00645055" w:rsidP="00697D3C">
      <w:pPr>
        <w:spacing w:line="360" w:lineRule="auto"/>
        <w:rPr>
          <w:szCs w:val="24"/>
        </w:rPr>
      </w:pPr>
    </w:p>
    <w:p w14:paraId="150A9157" w14:textId="6577C3EB" w:rsidR="00EF1A01" w:rsidRDefault="002A3B60" w:rsidP="00697D3C">
      <w:pPr>
        <w:spacing w:line="360" w:lineRule="auto"/>
        <w:rPr>
          <w:szCs w:val="24"/>
        </w:rPr>
      </w:pPr>
      <w:r>
        <w:rPr>
          <w:szCs w:val="24"/>
        </w:rPr>
        <w:t xml:space="preserve">Dated: </w:t>
      </w:r>
      <w:r>
        <w:rPr>
          <w:szCs w:val="24"/>
        </w:rPr>
        <w:fldChar w:fldCharType="begin"/>
      </w:r>
      <w:r>
        <w:rPr>
          <w:szCs w:val="24"/>
        </w:rPr>
        <w:instrText xml:space="preserve"> DATE \@ "MMMM d, yyyy" </w:instrText>
      </w:r>
      <w:r>
        <w:rPr>
          <w:szCs w:val="24"/>
        </w:rPr>
        <w:fldChar w:fldCharType="separate"/>
      </w:r>
      <w:r w:rsidR="001A0802">
        <w:rPr>
          <w:noProof/>
          <w:szCs w:val="24"/>
        </w:rPr>
        <w:t>July 2, 2018</w:t>
      </w:r>
      <w:r>
        <w:rPr>
          <w:szCs w:val="24"/>
        </w:rPr>
        <w:fldChar w:fldCharType="end"/>
      </w:r>
    </w:p>
    <w:p w14:paraId="51766EBA" w14:textId="77777777" w:rsidR="00706892" w:rsidRDefault="00452A29" w:rsidP="00452A29">
      <w:pPr>
        <w:pStyle w:val="Normaldouble"/>
        <w:ind w:left="3600" w:firstLine="720"/>
        <w:rPr>
          <w:szCs w:val="24"/>
        </w:rPr>
      </w:pPr>
      <w:r>
        <w:rPr>
          <w:szCs w:val="24"/>
        </w:rPr>
        <w:t>R</w:t>
      </w:r>
      <w:r w:rsidR="00706892" w:rsidRPr="007106D2">
        <w:rPr>
          <w:szCs w:val="24"/>
        </w:rPr>
        <w:t>espectfully Submitted,</w:t>
      </w:r>
    </w:p>
    <w:p w14:paraId="4782B148" w14:textId="77777777" w:rsidR="009D0BBF" w:rsidRDefault="009D0BBF" w:rsidP="009D0BBF">
      <w:pPr>
        <w:pStyle w:val="Normaldouble"/>
        <w:spacing w:line="240" w:lineRule="auto"/>
        <w:ind w:left="3600" w:firstLine="720"/>
        <w:rPr>
          <w:b/>
          <w:szCs w:val="24"/>
        </w:rPr>
      </w:pPr>
      <w:r>
        <w:rPr>
          <w:b/>
          <w:szCs w:val="24"/>
        </w:rPr>
        <w:t>PUBLIC UTILITY COMMISSION OF TEXAS</w:t>
      </w:r>
    </w:p>
    <w:p w14:paraId="7BD7FD94" w14:textId="77777777" w:rsidR="009D0BBF" w:rsidRDefault="009D0BBF" w:rsidP="009D0BBF">
      <w:pPr>
        <w:pStyle w:val="Normaldouble"/>
        <w:spacing w:line="240" w:lineRule="auto"/>
        <w:ind w:left="3600" w:firstLine="720"/>
        <w:rPr>
          <w:b/>
          <w:szCs w:val="24"/>
        </w:rPr>
      </w:pPr>
      <w:r>
        <w:rPr>
          <w:b/>
          <w:szCs w:val="24"/>
        </w:rPr>
        <w:t>LEGAL DIVISION</w:t>
      </w:r>
    </w:p>
    <w:p w14:paraId="28282295" w14:textId="77777777" w:rsidR="009D0BBF" w:rsidRPr="009D0BBF" w:rsidRDefault="009D0BBF" w:rsidP="009D0BBF">
      <w:pPr>
        <w:pStyle w:val="Normaldouble"/>
        <w:spacing w:line="240" w:lineRule="auto"/>
        <w:ind w:left="3600" w:firstLine="720"/>
        <w:rPr>
          <w:b/>
          <w:szCs w:val="24"/>
        </w:rPr>
      </w:pPr>
    </w:p>
    <w:p w14:paraId="26C385DF" w14:textId="77777777" w:rsidR="00071FF4" w:rsidRPr="00071FF4" w:rsidRDefault="00071FF4" w:rsidP="00071FF4">
      <w:pPr>
        <w:tabs>
          <w:tab w:val="left" w:pos="5040"/>
        </w:tabs>
        <w:ind w:left="4320"/>
        <w:rPr>
          <w:szCs w:val="24"/>
        </w:rPr>
      </w:pPr>
      <w:r w:rsidRPr="00071FF4">
        <w:rPr>
          <w:szCs w:val="24"/>
        </w:rPr>
        <w:t>Margaret Uhlig Pemberton</w:t>
      </w:r>
    </w:p>
    <w:p w14:paraId="35F38A63" w14:textId="77777777" w:rsidR="00721405" w:rsidRPr="00455AFE" w:rsidRDefault="00DA162E" w:rsidP="00721405">
      <w:pPr>
        <w:tabs>
          <w:tab w:val="left" w:pos="4320"/>
        </w:tabs>
        <w:jc w:val="left"/>
        <w:rPr>
          <w:szCs w:val="24"/>
        </w:rPr>
      </w:pPr>
      <w:r>
        <w:rPr>
          <w:szCs w:val="24"/>
        </w:rPr>
        <w:tab/>
        <w:t>Division Director</w:t>
      </w:r>
    </w:p>
    <w:p w14:paraId="5B10D1A7" w14:textId="77777777" w:rsidR="00721405" w:rsidRPr="007106D2" w:rsidRDefault="00721405" w:rsidP="00721405">
      <w:pPr>
        <w:pStyle w:val="Normaldouble"/>
        <w:spacing w:line="240" w:lineRule="auto"/>
        <w:ind w:left="3600" w:firstLine="720"/>
        <w:jc w:val="left"/>
        <w:rPr>
          <w:szCs w:val="24"/>
        </w:rPr>
      </w:pPr>
    </w:p>
    <w:p w14:paraId="2F47DDC5" w14:textId="77777777" w:rsidR="00727FD7" w:rsidRDefault="00DA65B9" w:rsidP="00727FD7">
      <w:pPr>
        <w:keepNext/>
        <w:ind w:left="4320"/>
      </w:pPr>
      <w:r>
        <w:t>Stephen Mack</w:t>
      </w:r>
    </w:p>
    <w:p w14:paraId="731389D5" w14:textId="77777777" w:rsidR="00727FD7" w:rsidRDefault="00DA162E" w:rsidP="009D0BBF">
      <w:pPr>
        <w:keepNext/>
        <w:ind w:left="4320"/>
      </w:pPr>
      <w:r>
        <w:t>Managing Attorney</w:t>
      </w:r>
      <w:r w:rsidR="00727FD7">
        <w:tab/>
      </w:r>
      <w:r w:rsidR="00727FD7">
        <w:tab/>
      </w:r>
      <w:r w:rsidR="00727FD7">
        <w:tab/>
      </w:r>
    </w:p>
    <w:p w14:paraId="4F9BA438" w14:textId="77777777" w:rsidR="00727FD7" w:rsidRDefault="00727FD7" w:rsidP="00727FD7">
      <w:pPr>
        <w:keepNext/>
        <w:ind w:left="4320"/>
      </w:pPr>
    </w:p>
    <w:p w14:paraId="20F7CB4B" w14:textId="77777777" w:rsidR="00DA162E" w:rsidRDefault="00DA162E" w:rsidP="00E10D73">
      <w:pPr>
        <w:keepNext/>
      </w:pPr>
    </w:p>
    <w:p w14:paraId="5D3EB2A5" w14:textId="77777777" w:rsidR="00727FD7" w:rsidRDefault="00727FD7" w:rsidP="00727FD7">
      <w:pPr>
        <w:pStyle w:val="Normaldouble"/>
        <w:spacing w:line="240" w:lineRule="auto"/>
      </w:pPr>
      <w:r>
        <w:tab/>
      </w:r>
      <w:r>
        <w:tab/>
      </w:r>
      <w:r>
        <w:tab/>
      </w:r>
      <w:r>
        <w:tab/>
      </w:r>
      <w:r>
        <w:tab/>
      </w:r>
      <w:r>
        <w:tab/>
        <w:t>______________________</w:t>
      </w:r>
      <w:r w:rsidR="00374F3E">
        <w:t>_______</w:t>
      </w:r>
    </w:p>
    <w:p w14:paraId="495838D6" w14:textId="77777777" w:rsidR="00727FD7" w:rsidRDefault="00727FD7" w:rsidP="00727FD7">
      <w:pPr>
        <w:pStyle w:val="Normaldouble"/>
        <w:spacing w:line="240" w:lineRule="auto"/>
      </w:pPr>
      <w:r>
        <w:tab/>
      </w:r>
      <w:r>
        <w:tab/>
      </w:r>
      <w:r>
        <w:tab/>
      </w:r>
      <w:r>
        <w:tab/>
      </w:r>
      <w:r>
        <w:tab/>
      </w:r>
      <w:r>
        <w:tab/>
      </w:r>
      <w:r w:rsidR="00374F3E">
        <w:t>Eleanor D’Ambrosio</w:t>
      </w:r>
    </w:p>
    <w:p w14:paraId="58893BDD" w14:textId="77777777" w:rsidR="00727FD7" w:rsidRDefault="00727FD7" w:rsidP="00727FD7">
      <w:pPr>
        <w:pStyle w:val="Normaldouble"/>
        <w:spacing w:line="240" w:lineRule="auto"/>
      </w:pPr>
      <w:r>
        <w:tab/>
      </w:r>
      <w:r>
        <w:tab/>
      </w:r>
      <w:r>
        <w:tab/>
      </w:r>
      <w:r>
        <w:tab/>
      </w:r>
      <w:r>
        <w:tab/>
      </w:r>
      <w:r>
        <w:tab/>
        <w:t>State Bar No. 2409</w:t>
      </w:r>
      <w:r w:rsidR="00374F3E">
        <w:t>7559</w:t>
      </w:r>
    </w:p>
    <w:p w14:paraId="23CA6A20" w14:textId="77777777" w:rsidR="00727FD7" w:rsidRDefault="00727FD7" w:rsidP="00727FD7">
      <w:pPr>
        <w:pStyle w:val="Normaldouble"/>
        <w:spacing w:line="240" w:lineRule="auto"/>
      </w:pPr>
      <w:r>
        <w:tab/>
      </w:r>
      <w:r>
        <w:tab/>
      </w:r>
      <w:r>
        <w:tab/>
      </w:r>
      <w:r>
        <w:tab/>
      </w:r>
      <w:r>
        <w:tab/>
      </w:r>
      <w:r>
        <w:tab/>
        <w:t>1701 N. Congress Avenue</w:t>
      </w:r>
    </w:p>
    <w:p w14:paraId="27560320" w14:textId="77777777" w:rsidR="00727FD7" w:rsidRDefault="00727FD7" w:rsidP="00727FD7">
      <w:pPr>
        <w:pStyle w:val="Normaldouble"/>
        <w:spacing w:line="240" w:lineRule="auto"/>
      </w:pPr>
      <w:r>
        <w:tab/>
      </w:r>
      <w:r>
        <w:tab/>
      </w:r>
      <w:r>
        <w:tab/>
      </w:r>
      <w:r>
        <w:tab/>
      </w:r>
      <w:r>
        <w:tab/>
      </w:r>
      <w:r>
        <w:tab/>
        <w:t>P.O. Box 13326</w:t>
      </w:r>
    </w:p>
    <w:p w14:paraId="29C2B0A1" w14:textId="77777777" w:rsidR="00452A29" w:rsidRDefault="00727FD7" w:rsidP="00452A29">
      <w:pPr>
        <w:pStyle w:val="Normaldouble"/>
        <w:spacing w:line="240" w:lineRule="auto"/>
      </w:pPr>
      <w:r>
        <w:tab/>
      </w:r>
      <w:r>
        <w:tab/>
      </w:r>
      <w:r>
        <w:tab/>
      </w:r>
      <w:r>
        <w:tab/>
      </w:r>
      <w:r>
        <w:tab/>
      </w:r>
      <w:r>
        <w:tab/>
        <w:t>Austin, Texas 78711-3326</w:t>
      </w:r>
    </w:p>
    <w:p w14:paraId="2CFEC756" w14:textId="77777777" w:rsidR="00374F3E" w:rsidRDefault="00374F3E" w:rsidP="00452A29">
      <w:pPr>
        <w:pStyle w:val="Normaldouble"/>
        <w:spacing w:line="240" w:lineRule="auto"/>
      </w:pPr>
      <w:r>
        <w:tab/>
      </w:r>
      <w:r>
        <w:tab/>
      </w:r>
      <w:r>
        <w:tab/>
      </w:r>
      <w:r>
        <w:tab/>
      </w:r>
      <w:r>
        <w:tab/>
      </w:r>
      <w:r>
        <w:tab/>
        <w:t>(512) 936-7295</w:t>
      </w:r>
    </w:p>
    <w:p w14:paraId="45320695" w14:textId="77777777" w:rsidR="00374F3E" w:rsidRDefault="00FF162D" w:rsidP="00452A29">
      <w:pPr>
        <w:pStyle w:val="Normaldouble"/>
        <w:spacing w:line="240" w:lineRule="auto"/>
      </w:pPr>
      <w:r>
        <w:tab/>
      </w:r>
      <w:r>
        <w:tab/>
      </w:r>
      <w:r>
        <w:tab/>
      </w:r>
      <w:r>
        <w:tab/>
      </w:r>
      <w:r>
        <w:tab/>
      </w:r>
      <w:r>
        <w:tab/>
        <w:t>(512) 936-7268 (facsimil</w:t>
      </w:r>
      <w:r w:rsidR="00374F3E">
        <w:t>e)</w:t>
      </w:r>
    </w:p>
    <w:p w14:paraId="2B3361E4" w14:textId="77777777" w:rsidR="002A3B60" w:rsidRDefault="00374F3E" w:rsidP="00452A29">
      <w:pPr>
        <w:pStyle w:val="Normaldouble"/>
        <w:spacing w:line="240" w:lineRule="auto"/>
      </w:pPr>
      <w:r>
        <w:tab/>
      </w:r>
      <w:r>
        <w:tab/>
      </w:r>
      <w:r>
        <w:tab/>
      </w:r>
      <w:r>
        <w:tab/>
      </w:r>
      <w:r>
        <w:tab/>
      </w:r>
      <w:r>
        <w:tab/>
        <w:t>Eleanor.Dambrosio</w:t>
      </w:r>
      <w:r w:rsidR="002A3B60">
        <w:t>@puc.texas.gov</w:t>
      </w:r>
    </w:p>
    <w:p w14:paraId="6D3F208C" w14:textId="77777777" w:rsidR="00367779" w:rsidRDefault="00367779" w:rsidP="00677460">
      <w:pPr>
        <w:tabs>
          <w:tab w:val="left" w:pos="4220"/>
        </w:tabs>
        <w:jc w:val="left"/>
        <w:rPr>
          <w:szCs w:val="28"/>
        </w:rPr>
      </w:pPr>
    </w:p>
    <w:p w14:paraId="6590DF35" w14:textId="77777777" w:rsidR="00677460" w:rsidRDefault="00AE3D16" w:rsidP="00677460">
      <w:pPr>
        <w:pStyle w:val="Docketnumber"/>
        <w:rPr>
          <w:sz w:val="24"/>
          <w:szCs w:val="24"/>
        </w:rPr>
      </w:pPr>
      <w:r>
        <w:rPr>
          <w:sz w:val="24"/>
          <w:szCs w:val="24"/>
        </w:rPr>
        <w:lastRenderedPageBreak/>
        <w:t xml:space="preserve">PUC </w:t>
      </w:r>
      <w:r w:rsidR="00677460">
        <w:rPr>
          <w:sz w:val="24"/>
          <w:szCs w:val="24"/>
        </w:rPr>
        <w:t xml:space="preserve">DOCKET NO. </w:t>
      </w:r>
      <w:r w:rsidR="00203F62">
        <w:rPr>
          <w:sz w:val="24"/>
          <w:szCs w:val="24"/>
        </w:rPr>
        <w:t>46245</w:t>
      </w:r>
    </w:p>
    <w:p w14:paraId="01CFCFAC" w14:textId="77777777" w:rsidR="00AE3D16" w:rsidRDefault="00AE3D16" w:rsidP="00AE3D16">
      <w:pPr>
        <w:pStyle w:val="Docketnumber"/>
        <w:rPr>
          <w:sz w:val="24"/>
          <w:szCs w:val="24"/>
        </w:rPr>
      </w:pPr>
      <w:r>
        <w:rPr>
          <w:sz w:val="24"/>
          <w:szCs w:val="24"/>
        </w:rPr>
        <w:t>SOAH DOCKET No. 473-17-0119.WS</w:t>
      </w:r>
    </w:p>
    <w:p w14:paraId="1C5E9DAD" w14:textId="77777777" w:rsidR="00AE3D16" w:rsidRDefault="00AE3D16" w:rsidP="00677460">
      <w:pPr>
        <w:pStyle w:val="Docketnumber"/>
        <w:rPr>
          <w:sz w:val="24"/>
          <w:szCs w:val="24"/>
        </w:rPr>
      </w:pPr>
    </w:p>
    <w:p w14:paraId="74D3C56C" w14:textId="77777777" w:rsidR="00E22A91" w:rsidRPr="000050FC" w:rsidRDefault="00E22A91" w:rsidP="00E22A91">
      <w:pPr>
        <w:keepNext/>
        <w:spacing w:line="360" w:lineRule="auto"/>
        <w:jc w:val="center"/>
        <w:rPr>
          <w:b/>
          <w:szCs w:val="24"/>
        </w:rPr>
      </w:pPr>
      <w:r w:rsidRPr="000050FC">
        <w:rPr>
          <w:b/>
          <w:szCs w:val="24"/>
        </w:rPr>
        <w:t>CERTIFICATE OF SERVICE</w:t>
      </w:r>
    </w:p>
    <w:p w14:paraId="7B49AD54" w14:textId="1BDB991E" w:rsidR="00E22A91" w:rsidRPr="003E4E47" w:rsidRDefault="00E22A91" w:rsidP="00E22A91">
      <w:pPr>
        <w:keepNext/>
        <w:spacing w:line="360" w:lineRule="auto"/>
        <w:ind w:firstLine="720"/>
        <w:rPr>
          <w:szCs w:val="24"/>
        </w:rPr>
      </w:pPr>
      <w:r w:rsidRPr="003E4E47">
        <w:rPr>
          <w:szCs w:val="24"/>
        </w:rPr>
        <w:t>I certify that a copy of this document will be served on all parties of record</w:t>
      </w:r>
      <w:r w:rsidR="00374F3E">
        <w:rPr>
          <w:szCs w:val="24"/>
        </w:rPr>
        <w:t xml:space="preserve"> on</w:t>
      </w:r>
      <w:r w:rsidR="00EC1702">
        <w:rPr>
          <w:szCs w:val="24"/>
        </w:rPr>
        <w:t xml:space="preserve"> </w:t>
      </w:r>
      <w:r w:rsidR="00EC1702">
        <w:rPr>
          <w:szCs w:val="24"/>
        </w:rPr>
        <w:fldChar w:fldCharType="begin"/>
      </w:r>
      <w:r w:rsidR="00EC1702">
        <w:rPr>
          <w:szCs w:val="24"/>
        </w:rPr>
        <w:instrText xml:space="preserve"> DATE \@ "MMMM d, yyyy" </w:instrText>
      </w:r>
      <w:r w:rsidR="00EC1702">
        <w:rPr>
          <w:szCs w:val="24"/>
        </w:rPr>
        <w:fldChar w:fldCharType="separate"/>
      </w:r>
      <w:r w:rsidR="001A0802">
        <w:rPr>
          <w:noProof/>
          <w:szCs w:val="24"/>
        </w:rPr>
        <w:t>July 2, 2018</w:t>
      </w:r>
      <w:r w:rsidR="00EC1702">
        <w:rPr>
          <w:szCs w:val="24"/>
        </w:rPr>
        <w:fldChar w:fldCharType="end"/>
      </w:r>
      <w:r>
        <w:rPr>
          <w:szCs w:val="24"/>
        </w:rPr>
        <w:t xml:space="preserve">, </w:t>
      </w:r>
      <w:r w:rsidRPr="003E4E47">
        <w:rPr>
          <w:szCs w:val="24"/>
        </w:rPr>
        <w:t>in accord</w:t>
      </w:r>
      <w:r w:rsidR="007B2CD4">
        <w:rPr>
          <w:szCs w:val="24"/>
        </w:rPr>
        <w:t>ance with 16 TAC §</w:t>
      </w:r>
      <w:r w:rsidRPr="003E4E47">
        <w:rPr>
          <w:szCs w:val="24"/>
        </w:rPr>
        <w:t xml:space="preserve"> 22.74.</w:t>
      </w:r>
    </w:p>
    <w:p w14:paraId="548B5B56" w14:textId="77777777" w:rsidR="00E22A91" w:rsidRDefault="00E22A91" w:rsidP="00E22A91">
      <w:pPr>
        <w:keepNext/>
        <w:spacing w:line="360" w:lineRule="auto"/>
        <w:ind w:firstLine="720"/>
        <w:rPr>
          <w:szCs w:val="24"/>
        </w:rPr>
      </w:pPr>
    </w:p>
    <w:p w14:paraId="013BDAC5" w14:textId="77777777" w:rsidR="00374F3E" w:rsidRDefault="00374F3E" w:rsidP="00727FD7">
      <w:pPr>
        <w:tabs>
          <w:tab w:val="left" w:pos="5040"/>
        </w:tabs>
        <w:ind w:left="3600" w:firstLine="720"/>
      </w:pPr>
      <w:r>
        <w:t>_____________________________</w:t>
      </w:r>
    </w:p>
    <w:p w14:paraId="704479F3" w14:textId="77777777" w:rsidR="001551DD" w:rsidRPr="00E22A91" w:rsidRDefault="00374F3E" w:rsidP="00727FD7">
      <w:pPr>
        <w:tabs>
          <w:tab w:val="left" w:pos="5040"/>
        </w:tabs>
        <w:ind w:left="3600" w:firstLine="720"/>
        <w:rPr>
          <w:szCs w:val="24"/>
        </w:rPr>
      </w:pPr>
      <w:r>
        <w:t>Eleanor D’Ambrosio</w:t>
      </w:r>
    </w:p>
    <w:sectPr w:rsidR="001551DD" w:rsidRPr="00E22A91" w:rsidSect="00A967D0">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3B4962" w14:textId="77777777" w:rsidR="009023F7" w:rsidRDefault="009023F7">
      <w:r>
        <w:separator/>
      </w:r>
    </w:p>
  </w:endnote>
  <w:endnote w:type="continuationSeparator" w:id="0">
    <w:p w14:paraId="11034379" w14:textId="77777777" w:rsidR="009023F7" w:rsidRDefault="00902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DCA5D" w14:textId="77777777" w:rsidR="00055551" w:rsidRDefault="00055551"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6D930DF" w14:textId="77777777" w:rsidR="00055551" w:rsidRDefault="00055551"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5687407"/>
      <w:docPartObj>
        <w:docPartGallery w:val="Page Numbers (Bottom of Page)"/>
        <w:docPartUnique/>
      </w:docPartObj>
    </w:sdtPr>
    <w:sdtEndPr>
      <w:rPr>
        <w:noProof/>
      </w:rPr>
    </w:sdtEndPr>
    <w:sdtContent>
      <w:p w14:paraId="6F2DE1D8" w14:textId="77777777" w:rsidR="00055551" w:rsidRDefault="00055551" w:rsidP="00BE5182">
        <w:pPr>
          <w:pStyle w:val="Footer"/>
        </w:pPr>
      </w:p>
      <w:p w14:paraId="4E3E03EB" w14:textId="77777777" w:rsidR="00055551" w:rsidRDefault="001A0802" w:rsidP="00BE5182">
        <w:pPr>
          <w:pStyle w:val="Footer"/>
        </w:pPr>
      </w:p>
    </w:sdtContent>
  </w:sdt>
  <w:sdt>
    <w:sdtPr>
      <w:id w:val="1919285107"/>
      <w:docPartObj>
        <w:docPartGallery w:val="Page Numbers (Bottom of Page)"/>
        <w:docPartUnique/>
      </w:docPartObj>
    </w:sdtPr>
    <w:sdtEndPr>
      <w:rPr>
        <w:noProof/>
      </w:rPr>
    </w:sdtEndPr>
    <w:sdtContent>
      <w:p w14:paraId="3C29304E" w14:textId="7E91F75F" w:rsidR="00055551" w:rsidRDefault="00DE1760" w:rsidP="00BE5182">
        <w:pPr>
          <w:pStyle w:val="Footer"/>
        </w:pPr>
        <w:r>
          <w:t xml:space="preserve">PUC </w:t>
        </w:r>
        <w:r w:rsidR="00055551" w:rsidRPr="006204F5">
          <w:t>Docket No.</w:t>
        </w:r>
        <w:r w:rsidR="00055551">
          <w:t xml:space="preserve"> 46245</w:t>
        </w:r>
        <w:r>
          <w:t xml:space="preserve"> / SOAH Docket No. </w:t>
        </w:r>
        <w:r w:rsidRPr="00DE1760">
          <w:t>473-17-0119.WS</w:t>
        </w:r>
        <w:r w:rsidR="00055551">
          <w:t xml:space="preserve">                                            </w:t>
        </w:r>
        <w:r w:rsidR="00055551">
          <w:rPr>
            <w:szCs w:val="16"/>
          </w:rPr>
          <w:t xml:space="preserve">                                                          </w:t>
        </w:r>
        <w:r w:rsidR="00055551">
          <w:tab/>
          <w:t xml:space="preserve">Page </w:t>
        </w:r>
        <w:r w:rsidR="00055551">
          <w:fldChar w:fldCharType="begin"/>
        </w:r>
        <w:r w:rsidR="00055551">
          <w:instrText xml:space="preserve"> PAGE </w:instrText>
        </w:r>
        <w:r w:rsidR="00055551">
          <w:fldChar w:fldCharType="separate"/>
        </w:r>
        <w:r w:rsidR="001A0802">
          <w:rPr>
            <w:noProof/>
          </w:rPr>
          <w:t>12</w:t>
        </w:r>
        <w:r w:rsidR="00055551">
          <w:rPr>
            <w:noProof/>
          </w:rPr>
          <w:fldChar w:fldCharType="end"/>
        </w:r>
        <w:r w:rsidR="00055551">
          <w:t xml:space="preserve"> of </w:t>
        </w:r>
        <w:fldSimple w:instr=" NUMPAGES ">
          <w:r w:rsidR="001A0802">
            <w:rPr>
              <w:noProof/>
            </w:rPr>
            <w:t>13</w:t>
          </w:r>
        </w:fldSimple>
        <w:r w:rsidR="00055551">
          <w:rPr>
            <w:noProof/>
          </w:rPr>
          <w:t xml:space="preserve"> </w:t>
        </w:r>
      </w:p>
      <w:p w14:paraId="132EE353" w14:textId="77777777" w:rsidR="00055551" w:rsidRDefault="00055551" w:rsidP="00BE5182">
        <w:pPr>
          <w:pStyle w:val="Footer"/>
          <w:rPr>
            <w:noProof/>
          </w:rPr>
        </w:pPr>
        <w:r>
          <w:rPr>
            <w:noProof/>
          </w:rPr>
          <w:t>Commission Staff’s Initial Brief on Legal or Policy Issues</w:t>
        </w:r>
      </w:p>
      <w:p w14:paraId="08D3A978" w14:textId="77777777" w:rsidR="00055551" w:rsidRDefault="001A0802" w:rsidP="00BE5182">
        <w:pPr>
          <w:pStyle w:val="Footer"/>
        </w:pPr>
      </w:p>
    </w:sdtContent>
  </w:sdt>
  <w:p w14:paraId="3B190A8E" w14:textId="77777777" w:rsidR="00055551" w:rsidRDefault="00055551">
    <w:pPr>
      <w:pStyle w:val="Footer"/>
      <w:jc w:val="center"/>
    </w:pPr>
  </w:p>
  <w:p w14:paraId="4AB6B8A3" w14:textId="77777777" w:rsidR="00055551" w:rsidRDefault="00055551" w:rsidP="00B9556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97367086"/>
      <w:docPartObj>
        <w:docPartGallery w:val="Page Numbers (Bottom of Page)"/>
        <w:docPartUnique/>
      </w:docPartObj>
    </w:sdtPr>
    <w:sdtEndPr>
      <w:rPr>
        <w:noProof/>
      </w:rPr>
    </w:sdtEndPr>
    <w:sdtContent>
      <w:p w14:paraId="5552E633" w14:textId="77777777" w:rsidR="00055551" w:rsidRDefault="00055551" w:rsidP="00BE5182">
        <w:pPr>
          <w:pStyle w:val="Footer"/>
          <w:rPr>
            <w:noProof/>
          </w:rPr>
        </w:pPr>
        <w:r>
          <w:t xml:space="preserve">PUC </w:t>
        </w:r>
        <w:r w:rsidRPr="006204F5">
          <w:t>Docket No.</w:t>
        </w:r>
        <w:r>
          <w:t xml:space="preserve"> 46336                                              </w:t>
        </w:r>
        <w:r w:rsidRPr="008C3F2B">
          <w:rPr>
            <w:szCs w:val="16"/>
          </w:rPr>
          <w:t xml:space="preserve">Commission Staff’s </w:t>
        </w:r>
        <w:r>
          <w:rPr>
            <w:szCs w:val="16"/>
          </w:rPr>
          <w:t>Final Recommendation</w:t>
        </w:r>
        <w:r>
          <w:tab/>
          <w:t xml:space="preserve">Page </w:t>
        </w:r>
        <w:r>
          <w:fldChar w:fldCharType="begin"/>
        </w:r>
        <w:r>
          <w:instrText xml:space="preserve"> PAGE </w:instrText>
        </w:r>
        <w:r>
          <w:fldChar w:fldCharType="separate"/>
        </w:r>
        <w:r>
          <w:rPr>
            <w:noProof/>
          </w:rPr>
          <w:t>1</w:t>
        </w:r>
        <w:r>
          <w:rPr>
            <w:noProof/>
          </w:rPr>
          <w:fldChar w:fldCharType="end"/>
        </w:r>
        <w:r>
          <w:t xml:space="preserve"> of </w:t>
        </w:r>
        <w:fldSimple w:instr=" NUMPAGES ">
          <w:r w:rsidR="0043243D">
            <w:rPr>
              <w:noProof/>
            </w:rPr>
            <w:t>11</w:t>
          </w:r>
        </w:fldSimple>
        <w:r>
          <w:rPr>
            <w:noProof/>
          </w:rPr>
          <w:t xml:space="preserve"> </w:t>
        </w:r>
      </w:p>
      <w:p w14:paraId="68561787" w14:textId="77777777" w:rsidR="00055551" w:rsidRDefault="00055551" w:rsidP="00BE5182">
        <w:pPr>
          <w:pStyle w:val="Footer"/>
        </w:pPr>
        <w:r>
          <w:rPr>
            <w:noProof/>
          </w:rPr>
          <w:t>SOAH Docket No. 473-17-2560.WS</w:t>
        </w:r>
      </w:p>
    </w:sdtContent>
  </w:sdt>
  <w:p w14:paraId="49D1908D" w14:textId="77777777" w:rsidR="00055551" w:rsidRDefault="000555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424DCF" w14:textId="77777777" w:rsidR="009023F7" w:rsidRDefault="009023F7">
      <w:r>
        <w:separator/>
      </w:r>
    </w:p>
  </w:footnote>
  <w:footnote w:type="continuationSeparator" w:id="0">
    <w:p w14:paraId="48E0D8C4" w14:textId="77777777" w:rsidR="009023F7" w:rsidRDefault="009023F7">
      <w:r>
        <w:continuationSeparator/>
      </w:r>
    </w:p>
  </w:footnote>
  <w:footnote w:id="1">
    <w:p w14:paraId="53EB936B" w14:textId="77777777" w:rsidR="00055551" w:rsidRDefault="00055551" w:rsidP="00015918">
      <w:pPr>
        <w:pStyle w:val="FootnoteText"/>
        <w:spacing w:after="120"/>
      </w:pPr>
      <w:r>
        <w:tab/>
      </w:r>
      <w:r>
        <w:rPr>
          <w:rStyle w:val="FootnoteReference"/>
        </w:rPr>
        <w:footnoteRef/>
      </w:r>
      <w:r>
        <w:t xml:space="preserve">  Direct Testimony and Exhibits of Randy Gracy, </w:t>
      </w:r>
      <w:r w:rsidRPr="008D15FD">
        <w:t>Ex. DDU-3</w:t>
      </w:r>
      <w:r>
        <w:t xml:space="preserve"> at 3 of 27 (Aug. 4, 2017).   </w:t>
      </w:r>
    </w:p>
  </w:footnote>
  <w:footnote w:id="2">
    <w:p w14:paraId="0F836117" w14:textId="7BFE5DFC" w:rsidR="00055551" w:rsidRDefault="00055551" w:rsidP="00D90C41">
      <w:pPr>
        <w:pStyle w:val="FootnoteText"/>
        <w:spacing w:after="120"/>
      </w:pPr>
      <w:r>
        <w:tab/>
      </w:r>
      <w:r w:rsidRPr="00D90C41">
        <w:rPr>
          <w:rStyle w:val="FootnoteReference"/>
        </w:rPr>
        <w:footnoteRef/>
      </w:r>
      <w:r w:rsidRPr="00D90C41">
        <w:t xml:space="preserve">  </w:t>
      </w:r>
      <w:r w:rsidR="008801FB">
        <w:t xml:space="preserve">Tr. at 56:10-17 (Gracy </w:t>
      </w:r>
      <w:r>
        <w:t>Cross) (Oct. 24, 2017)</w:t>
      </w:r>
      <w:r w:rsidRPr="00D90C41">
        <w:t>.</w:t>
      </w:r>
    </w:p>
  </w:footnote>
  <w:footnote w:id="3">
    <w:p w14:paraId="3E307471" w14:textId="77777777" w:rsidR="00055551" w:rsidRDefault="00055551" w:rsidP="00D90C41">
      <w:pPr>
        <w:pStyle w:val="FootnoteText"/>
        <w:spacing w:after="120"/>
      </w:pPr>
      <w:r>
        <w:tab/>
      </w:r>
      <w:r>
        <w:rPr>
          <w:rStyle w:val="FootnoteReference"/>
        </w:rPr>
        <w:footnoteRef/>
      </w:r>
      <w:r>
        <w:t xml:space="preserve">  Ex. DDU-3 at 3 of 27.</w:t>
      </w:r>
    </w:p>
  </w:footnote>
  <w:footnote w:id="4">
    <w:p w14:paraId="63EFD8A8" w14:textId="0DD57489" w:rsidR="00055551" w:rsidRDefault="00055551" w:rsidP="00FA34E5">
      <w:pPr>
        <w:pStyle w:val="FootnoteText"/>
        <w:spacing w:after="120"/>
      </w:pPr>
      <w:r>
        <w:tab/>
      </w:r>
      <w:r>
        <w:rPr>
          <w:rStyle w:val="FootnoteReference"/>
        </w:rPr>
        <w:footnoteRef/>
      </w:r>
      <w:r w:rsidR="008801FB">
        <w:t xml:space="preserve">  Tr. at 56:2-6 (Gracy </w:t>
      </w:r>
      <w:r>
        <w:t>Cross) (Oct. 24, 2017).</w:t>
      </w:r>
    </w:p>
  </w:footnote>
  <w:footnote w:id="5">
    <w:p w14:paraId="03579B6C" w14:textId="77777777" w:rsidR="00055551" w:rsidRDefault="00055551" w:rsidP="005F18A9">
      <w:pPr>
        <w:pStyle w:val="FootnoteText"/>
        <w:spacing w:after="120"/>
      </w:pPr>
      <w:r>
        <w:tab/>
      </w:r>
      <w:r>
        <w:rPr>
          <w:rStyle w:val="FootnoteReference"/>
        </w:rPr>
        <w:footnoteRef/>
      </w:r>
      <w:r>
        <w:t xml:space="preserve">  </w:t>
      </w:r>
      <w:r w:rsidRPr="00015918">
        <w:t>Ex. DDU-3</w:t>
      </w:r>
      <w:r>
        <w:t xml:space="preserve"> at 7 of 27.  </w:t>
      </w:r>
    </w:p>
  </w:footnote>
  <w:footnote w:id="6">
    <w:p w14:paraId="52F23169" w14:textId="349FCE66" w:rsidR="00055551" w:rsidRDefault="00055551" w:rsidP="005F18A9">
      <w:pPr>
        <w:pStyle w:val="FootnoteText"/>
        <w:spacing w:after="120"/>
      </w:pPr>
      <w:r>
        <w:tab/>
      </w:r>
      <w:r>
        <w:rPr>
          <w:rStyle w:val="FootnoteReference"/>
        </w:rPr>
        <w:footnoteRef/>
      </w:r>
      <w:r>
        <w:t xml:space="preserve">  </w:t>
      </w:r>
      <w:r w:rsidR="008D15FD">
        <w:rPr>
          <w:i/>
        </w:rPr>
        <w:t>Id</w:t>
      </w:r>
      <w:r w:rsidR="008D15FD">
        <w:t>.</w:t>
      </w:r>
      <w:r>
        <w:t xml:space="preserve"> at 10 of 27.  </w:t>
      </w:r>
    </w:p>
  </w:footnote>
  <w:footnote w:id="7">
    <w:p w14:paraId="1F8F2359" w14:textId="20C61CAF" w:rsidR="00055551" w:rsidRDefault="00055551" w:rsidP="005F18A9">
      <w:pPr>
        <w:pStyle w:val="FootnoteText"/>
        <w:spacing w:after="120"/>
      </w:pPr>
      <w:r>
        <w:tab/>
      </w:r>
      <w:r>
        <w:rPr>
          <w:rStyle w:val="FootnoteReference"/>
        </w:rPr>
        <w:footnoteRef/>
      </w:r>
      <w:r>
        <w:t xml:space="preserve">  </w:t>
      </w:r>
      <w:r w:rsidR="008D15FD">
        <w:rPr>
          <w:i/>
        </w:rPr>
        <w:t>Id</w:t>
      </w:r>
      <w:r w:rsidR="008D15FD">
        <w:t xml:space="preserve">. </w:t>
      </w:r>
      <w:r>
        <w:t>at 7 of 27.</w:t>
      </w:r>
    </w:p>
  </w:footnote>
  <w:footnote w:id="8">
    <w:p w14:paraId="514BC0CF" w14:textId="6451E39E" w:rsidR="00055551" w:rsidRDefault="00055551" w:rsidP="0006039C">
      <w:pPr>
        <w:pStyle w:val="FootnoteText"/>
        <w:spacing w:after="120"/>
      </w:pPr>
      <w:r>
        <w:tab/>
      </w:r>
      <w:r>
        <w:rPr>
          <w:rStyle w:val="FootnoteReference"/>
        </w:rPr>
        <w:footnoteRef/>
      </w:r>
      <w:r>
        <w:t xml:space="preserve"> </w:t>
      </w:r>
      <w:r w:rsidR="008D6507">
        <w:t xml:space="preserve"> </w:t>
      </w:r>
      <w:r w:rsidR="008801FB">
        <w:t xml:space="preserve">Tr. at 63:22-64:3 (Gracy </w:t>
      </w:r>
      <w:r>
        <w:t>Cross)</w:t>
      </w:r>
      <w:r w:rsidRPr="00FA34E5">
        <w:t xml:space="preserve"> </w:t>
      </w:r>
      <w:r>
        <w:t xml:space="preserve">(Oct. 24, 2017).  </w:t>
      </w:r>
    </w:p>
  </w:footnote>
  <w:footnote w:id="9">
    <w:p w14:paraId="623096DF" w14:textId="7B7202DE" w:rsidR="00055551" w:rsidRDefault="00055551" w:rsidP="00EE305C">
      <w:pPr>
        <w:pStyle w:val="FootnoteText"/>
        <w:spacing w:after="120"/>
      </w:pPr>
      <w:r>
        <w:tab/>
      </w:r>
      <w:r>
        <w:rPr>
          <w:rStyle w:val="FootnoteReference"/>
        </w:rPr>
        <w:footnoteRef/>
      </w:r>
      <w:r w:rsidR="008801FB">
        <w:t xml:space="preserve">  Tr. at 56:15-17 (Gracy </w:t>
      </w:r>
      <w:r>
        <w:t>Cross) (Oct. 24, 2017); Ex. DDU-3 at 7-8 of 27, 11-12 of 27.</w:t>
      </w:r>
    </w:p>
  </w:footnote>
  <w:footnote w:id="10">
    <w:p w14:paraId="632000B1" w14:textId="77777777" w:rsidR="00055551" w:rsidRDefault="00055551" w:rsidP="008D6507">
      <w:pPr>
        <w:pStyle w:val="FootnoteText"/>
        <w:spacing w:after="120"/>
      </w:pPr>
      <w:r>
        <w:tab/>
      </w:r>
      <w:r>
        <w:rPr>
          <w:rStyle w:val="FootnoteReference"/>
        </w:rPr>
        <w:footnoteRef/>
      </w:r>
      <w:r>
        <w:t xml:space="preserve">  Ex. DDU-3 at 8-10 of 27, 12 of 27. </w:t>
      </w:r>
    </w:p>
  </w:footnote>
  <w:footnote w:id="11">
    <w:p w14:paraId="5DC778A4" w14:textId="2303091A" w:rsidR="00055551" w:rsidRDefault="00055551" w:rsidP="00473A35">
      <w:pPr>
        <w:pStyle w:val="FootnoteText"/>
        <w:spacing w:after="120"/>
      </w:pPr>
      <w:r>
        <w:tab/>
      </w:r>
      <w:r>
        <w:rPr>
          <w:rStyle w:val="FootnoteReference"/>
        </w:rPr>
        <w:footnoteRef/>
      </w:r>
      <w:r>
        <w:t xml:space="preserve">  </w:t>
      </w:r>
      <w:r w:rsidR="008D15FD">
        <w:rPr>
          <w:i/>
        </w:rPr>
        <w:t>Id</w:t>
      </w:r>
      <w:r w:rsidR="008D15FD">
        <w:t xml:space="preserve">. </w:t>
      </w:r>
      <w:r>
        <w:t xml:space="preserve">at 8-9 of 27, 11-12 of 27. </w:t>
      </w:r>
    </w:p>
  </w:footnote>
  <w:footnote w:id="12">
    <w:p w14:paraId="486C0C76" w14:textId="584BFABF" w:rsidR="00055551" w:rsidRDefault="00055551" w:rsidP="00473A35">
      <w:pPr>
        <w:pStyle w:val="FootnoteText"/>
        <w:spacing w:after="120"/>
      </w:pPr>
      <w:r>
        <w:tab/>
      </w:r>
      <w:r>
        <w:rPr>
          <w:rStyle w:val="FootnoteReference"/>
        </w:rPr>
        <w:footnoteRef/>
      </w:r>
      <w:r w:rsidR="008D6507">
        <w:t xml:space="preserve">  </w:t>
      </w:r>
      <w:r>
        <w:t xml:space="preserve">Tr. at 528:1-529:10 (Joyce Rebuttal Cross) (Oct. 26, 2017). </w:t>
      </w:r>
    </w:p>
  </w:footnote>
  <w:footnote w:id="13">
    <w:p w14:paraId="7426DF62" w14:textId="708A5213" w:rsidR="00055551" w:rsidRDefault="00055551" w:rsidP="00473A35">
      <w:pPr>
        <w:pStyle w:val="FootnoteText"/>
        <w:spacing w:after="120"/>
      </w:pPr>
      <w:r>
        <w:tab/>
      </w:r>
      <w:r>
        <w:rPr>
          <w:rStyle w:val="FootnoteReference"/>
        </w:rPr>
        <w:footnoteRef/>
      </w:r>
      <w:r w:rsidR="008801FB">
        <w:t xml:space="preserve">  Tr. at 67:6-20 (Gracy </w:t>
      </w:r>
      <w:r>
        <w:t xml:space="preserve">Cross) (Oct. 24, 2017).  Staff notes that the depreciation schedules sponsored by DDU witness Jay Joyce are not consistent with this testimony and show almost all of the assets installed in 2005, 2006, and 2007 as 100% utility-contributed.  White Bluff Asset Listing Applying 80% Theoretical Developer Contribution to Certain Assets, Ex. </w:t>
      </w:r>
      <w:r w:rsidRPr="008D15FD">
        <w:t>DDU-6C</w:t>
      </w:r>
      <w:r w:rsidR="00411512">
        <w:t>.</w:t>
      </w:r>
    </w:p>
  </w:footnote>
  <w:footnote w:id="14">
    <w:p w14:paraId="1254AE9C" w14:textId="77777777" w:rsidR="00055551" w:rsidRDefault="00055551" w:rsidP="00473A35">
      <w:pPr>
        <w:pStyle w:val="FootnoteText"/>
        <w:spacing w:after="120"/>
      </w:pPr>
      <w:r>
        <w:tab/>
      </w:r>
      <w:r>
        <w:rPr>
          <w:rStyle w:val="FootnoteReference"/>
        </w:rPr>
        <w:footnoteRef/>
      </w:r>
      <w:r>
        <w:t xml:space="preserve">  Direct Testimony of Jay Joyce, </w:t>
      </w:r>
      <w:r w:rsidRPr="008D15FD">
        <w:t>Ex. DDU-6</w:t>
      </w:r>
      <w:r>
        <w:t xml:space="preserve"> at 13 of 89 (Aug. 4, 2017).</w:t>
      </w:r>
    </w:p>
  </w:footnote>
  <w:footnote w:id="15">
    <w:p w14:paraId="55BB61D3" w14:textId="5ABEA040" w:rsidR="00055551" w:rsidRDefault="00055551" w:rsidP="00473A35">
      <w:pPr>
        <w:pStyle w:val="FootnoteText"/>
        <w:spacing w:after="120"/>
      </w:pPr>
      <w:r>
        <w:tab/>
      </w:r>
      <w:r>
        <w:rPr>
          <w:rStyle w:val="FootnoteReference"/>
        </w:rPr>
        <w:footnoteRef/>
      </w:r>
      <w:r>
        <w:t xml:space="preserve">  Proposal for Deci</w:t>
      </w:r>
      <w:r w:rsidR="008D15FD">
        <w:t>sion at 48 (Feb. 13, 2018)</w:t>
      </w:r>
      <w:r>
        <w:t>.</w:t>
      </w:r>
    </w:p>
  </w:footnote>
  <w:footnote w:id="16">
    <w:p w14:paraId="10A4BC9D" w14:textId="5B695A67" w:rsidR="00055551" w:rsidRDefault="00055551" w:rsidP="008D6507">
      <w:pPr>
        <w:pStyle w:val="FootnoteText"/>
        <w:spacing w:after="120"/>
      </w:pPr>
      <w:r>
        <w:tab/>
      </w:r>
      <w:r>
        <w:rPr>
          <w:rStyle w:val="FootnoteReference"/>
        </w:rPr>
        <w:footnoteRef/>
      </w:r>
      <w:r>
        <w:t xml:space="preserve">  </w:t>
      </w:r>
      <w:r w:rsidR="008D15FD">
        <w:rPr>
          <w:i/>
        </w:rPr>
        <w:t>Id</w:t>
      </w:r>
      <w:r w:rsidR="008D15FD">
        <w:t xml:space="preserve">. </w:t>
      </w:r>
      <w:r>
        <w:t xml:space="preserve"> at 48-49.</w:t>
      </w:r>
    </w:p>
  </w:footnote>
  <w:footnote w:id="17">
    <w:p w14:paraId="1AE48829" w14:textId="77777777" w:rsidR="00055551" w:rsidRPr="00473A35" w:rsidRDefault="00055551" w:rsidP="008D6507">
      <w:pPr>
        <w:autoSpaceDE w:val="0"/>
        <w:autoSpaceDN w:val="0"/>
        <w:adjustRightInd w:val="0"/>
        <w:spacing w:after="120"/>
        <w:rPr>
          <w:sz w:val="20"/>
        </w:rPr>
      </w:pPr>
      <w:r>
        <w:tab/>
      </w:r>
      <w:r w:rsidRPr="00473A35">
        <w:rPr>
          <w:rStyle w:val="FootnoteReference"/>
          <w:szCs w:val="16"/>
        </w:rPr>
        <w:footnoteRef/>
      </w:r>
      <w:r w:rsidRPr="00473A35">
        <w:rPr>
          <w:sz w:val="16"/>
          <w:szCs w:val="16"/>
        </w:rPr>
        <w:t xml:space="preserve"> </w:t>
      </w:r>
      <w:r w:rsidRPr="00473A35">
        <w:rPr>
          <w:sz w:val="20"/>
        </w:rPr>
        <w:t xml:space="preserve"> Number Running Memoranda and Workpapers at 5 (Mar. 8, 2018) (“The ALJ recommends that the Commission remove from White Bluff s</w:t>
      </w:r>
      <w:r>
        <w:rPr>
          <w:sz w:val="20"/>
        </w:rPr>
        <w:t xml:space="preserve"> </w:t>
      </w:r>
      <w:r w:rsidRPr="00473A35">
        <w:rPr>
          <w:sz w:val="20"/>
        </w:rPr>
        <w:t>invested capital all utility assets, except the net book value of those which</w:t>
      </w:r>
      <w:r>
        <w:rPr>
          <w:sz w:val="20"/>
        </w:rPr>
        <w:t xml:space="preserve"> </w:t>
      </w:r>
      <w:r w:rsidRPr="00473A35">
        <w:rPr>
          <w:sz w:val="20"/>
        </w:rPr>
        <w:t>the evidence shows were funded by DDU, as set forth in WBRG witness</w:t>
      </w:r>
      <w:r>
        <w:rPr>
          <w:sz w:val="20"/>
        </w:rPr>
        <w:t xml:space="preserve"> </w:t>
      </w:r>
      <w:r w:rsidRPr="00473A35">
        <w:rPr>
          <w:sz w:val="20"/>
        </w:rPr>
        <w:t>Nelisa Heddin's direct testimony at pages 19-20 and Tables NDH-1 and</w:t>
      </w:r>
      <w:r>
        <w:rPr>
          <w:sz w:val="20"/>
        </w:rPr>
        <w:t xml:space="preserve"> </w:t>
      </w:r>
      <w:r w:rsidRPr="00473A35">
        <w:rPr>
          <w:sz w:val="20"/>
        </w:rPr>
        <w:t>NDH-2.”).</w:t>
      </w:r>
      <w:r>
        <w:t xml:space="preserve"> </w:t>
      </w:r>
    </w:p>
  </w:footnote>
  <w:footnote w:id="18">
    <w:p w14:paraId="4C485E6B" w14:textId="77777777" w:rsidR="00055551" w:rsidRDefault="00055551" w:rsidP="00631699">
      <w:pPr>
        <w:pStyle w:val="FootnoteText"/>
        <w:spacing w:after="120"/>
      </w:pPr>
      <w:r>
        <w:tab/>
      </w:r>
      <w:r>
        <w:rPr>
          <w:rStyle w:val="FootnoteReference"/>
        </w:rPr>
        <w:footnoteRef/>
      </w:r>
      <w:r>
        <w:t xml:space="preserve">  Direct Testimony and Workpapers of Nelisa Heddin, </w:t>
      </w:r>
      <w:r w:rsidRPr="008D15FD">
        <w:t>Ex. WBRG-1</w:t>
      </w:r>
      <w:r>
        <w:t xml:space="preserve"> at </w:t>
      </w:r>
      <w:r w:rsidRPr="00473A35">
        <w:t>WBRG000022</w:t>
      </w:r>
      <w:r>
        <w:t>.</w:t>
      </w:r>
    </w:p>
  </w:footnote>
  <w:footnote w:id="19">
    <w:p w14:paraId="0F5AFA54" w14:textId="24B75AC9" w:rsidR="00055551" w:rsidRDefault="00055551" w:rsidP="00473A35">
      <w:pPr>
        <w:pStyle w:val="FootnoteText"/>
        <w:spacing w:after="120"/>
      </w:pPr>
      <w:r>
        <w:tab/>
      </w:r>
      <w:r>
        <w:rPr>
          <w:rStyle w:val="FootnoteReference"/>
        </w:rPr>
        <w:footnoteRef/>
      </w:r>
      <w:r>
        <w:t xml:space="preserve">  </w:t>
      </w:r>
      <w:r w:rsidR="008D15FD">
        <w:rPr>
          <w:i/>
        </w:rPr>
        <w:t>Id</w:t>
      </w:r>
      <w:r w:rsidR="008D15FD">
        <w:t xml:space="preserve">. </w:t>
      </w:r>
      <w:r>
        <w:t>at WBRG000023.</w:t>
      </w:r>
    </w:p>
  </w:footnote>
  <w:footnote w:id="20">
    <w:p w14:paraId="795BBCA6" w14:textId="5BC56470" w:rsidR="008229FD" w:rsidRDefault="008229FD" w:rsidP="008229FD">
      <w:pPr>
        <w:pStyle w:val="FootnoteText"/>
        <w:spacing w:after="120"/>
      </w:pPr>
      <w:r>
        <w:tab/>
      </w:r>
      <w:r>
        <w:rPr>
          <w:rStyle w:val="FootnoteReference"/>
        </w:rPr>
        <w:footnoteRef/>
      </w:r>
      <w:r>
        <w:t xml:space="preserve">  </w:t>
      </w:r>
      <w:r>
        <w:rPr>
          <w:i/>
        </w:rPr>
        <w:t>Sunbelt Util. v. Pub. Util. Comm’n of Tex.</w:t>
      </w:r>
      <w:r>
        <w:t xml:space="preserve">, 589 S.W.2d 392 (Tex. 1979).  </w:t>
      </w:r>
    </w:p>
  </w:footnote>
  <w:footnote w:id="21">
    <w:p w14:paraId="701D1361" w14:textId="4744E0CF" w:rsidR="008229FD" w:rsidRDefault="008229FD" w:rsidP="008229FD">
      <w:pPr>
        <w:pStyle w:val="FootnoteText"/>
        <w:spacing w:after="120"/>
      </w:pPr>
      <w:r>
        <w:tab/>
      </w:r>
      <w:r>
        <w:rPr>
          <w:rStyle w:val="FootnoteReference"/>
        </w:rPr>
        <w:footnoteRef/>
      </w:r>
      <w:r>
        <w:t xml:space="preserve">  </w:t>
      </w:r>
      <w:r>
        <w:rPr>
          <w:i/>
        </w:rPr>
        <w:t>Id</w:t>
      </w:r>
      <w:r>
        <w:t xml:space="preserve">. at 394. </w:t>
      </w:r>
    </w:p>
  </w:footnote>
  <w:footnote w:id="22">
    <w:p w14:paraId="4B273877" w14:textId="2205C750" w:rsidR="008229FD" w:rsidRDefault="008229FD" w:rsidP="008229FD">
      <w:pPr>
        <w:pStyle w:val="FootnoteText"/>
        <w:spacing w:after="120"/>
      </w:pPr>
      <w:r>
        <w:tab/>
      </w:r>
      <w:r>
        <w:rPr>
          <w:rStyle w:val="FootnoteReference"/>
        </w:rPr>
        <w:footnoteRef/>
      </w:r>
      <w:r>
        <w:t xml:space="preserve">  </w:t>
      </w:r>
      <w:r>
        <w:rPr>
          <w:i/>
        </w:rPr>
        <w:t>See</w:t>
      </w:r>
      <w:r>
        <w:t xml:space="preserve"> 16 TAC § 24.31(c)(3)(D)-(E).</w:t>
      </w:r>
    </w:p>
  </w:footnote>
  <w:footnote w:id="23">
    <w:p w14:paraId="1DE6F347" w14:textId="1E162FD5" w:rsidR="00643B13" w:rsidRDefault="00643B13" w:rsidP="00643B13">
      <w:pPr>
        <w:pStyle w:val="FootnoteText"/>
        <w:spacing w:after="120"/>
      </w:pPr>
      <w:r>
        <w:tab/>
      </w:r>
      <w:r>
        <w:rPr>
          <w:rStyle w:val="FootnoteReference"/>
        </w:rPr>
        <w:footnoteRef/>
      </w:r>
      <w:r>
        <w:t xml:space="preserve">  </w:t>
      </w:r>
      <w:r>
        <w:rPr>
          <w:i/>
        </w:rPr>
        <w:t>Application of SJWTX, Inc. dba Canyon Lake Water Service Company to Change Water Rates</w:t>
      </w:r>
      <w:r>
        <w:t>, TCEQ Docket No. 2010-1841 UCR,</w:t>
      </w:r>
      <w:r w:rsidR="008D15FD">
        <w:t xml:space="preserve"> Final Order at</w:t>
      </w:r>
      <w:r>
        <w:rPr>
          <w:i/>
        </w:rPr>
        <w:t xml:space="preserve"> </w:t>
      </w:r>
      <w:r>
        <w:t xml:space="preserve">Finding of Fact No. 59 </w:t>
      </w:r>
      <w:r w:rsidR="008D15FD">
        <w:t xml:space="preserve">(Jun. 27, 2013) </w:t>
      </w:r>
      <w:r>
        <w:t>(“</w:t>
      </w:r>
      <w:r w:rsidRPr="006A7468">
        <w:t>Cost-free capital occurs when a utility does not use its own funds to obtain plant assets.</w:t>
      </w:r>
      <w:r>
        <w:t>”)</w:t>
      </w:r>
    </w:p>
  </w:footnote>
  <w:footnote w:id="24">
    <w:p w14:paraId="400FAAEF" w14:textId="24241F35" w:rsidR="00643B13" w:rsidRDefault="00643B13" w:rsidP="00643B13">
      <w:pPr>
        <w:pStyle w:val="FootnoteText"/>
        <w:spacing w:after="120"/>
      </w:pPr>
      <w:r>
        <w:tab/>
      </w:r>
      <w:r>
        <w:rPr>
          <w:rStyle w:val="FootnoteReference"/>
        </w:rPr>
        <w:footnoteRef/>
      </w:r>
      <w:r>
        <w:t xml:space="preserve">  </w:t>
      </w:r>
      <w:r w:rsidR="008D15FD">
        <w:rPr>
          <w:i/>
        </w:rPr>
        <w:t>Id</w:t>
      </w:r>
      <w:r w:rsidR="008D15FD">
        <w:t xml:space="preserve">. at </w:t>
      </w:r>
      <w:r>
        <w:t>Finding of Fact No. 49 (“…</w:t>
      </w:r>
      <w:r w:rsidRPr="00A87CD7">
        <w:t>Customer- and developer- CIAC is excluded from the rate base because the utility has not made an investment upon which it should earn a return.</w:t>
      </w:r>
      <w:r>
        <w:t>).</w:t>
      </w:r>
    </w:p>
  </w:footnote>
  <w:footnote w:id="25">
    <w:p w14:paraId="11F302F9" w14:textId="6E17C04B" w:rsidR="00FD38EE" w:rsidRDefault="00FD38EE" w:rsidP="00F4683B">
      <w:pPr>
        <w:pStyle w:val="FootnoteText"/>
        <w:spacing w:after="120"/>
        <w:ind w:firstLine="720"/>
      </w:pPr>
      <w:r>
        <w:rPr>
          <w:rStyle w:val="FootnoteReference"/>
        </w:rPr>
        <w:footnoteRef/>
      </w:r>
      <w:r w:rsidR="00F4683B">
        <w:t xml:space="preserve">  </w:t>
      </w:r>
      <w:r>
        <w:t>TWC § 13.185(j).</w:t>
      </w:r>
    </w:p>
  </w:footnote>
  <w:footnote w:id="26">
    <w:p w14:paraId="62389D17" w14:textId="4F6C3A97" w:rsidR="00643B13" w:rsidRDefault="00643B13" w:rsidP="00643B13">
      <w:pPr>
        <w:pStyle w:val="FootnoteText"/>
        <w:spacing w:after="120"/>
      </w:pPr>
      <w:r>
        <w:tab/>
      </w:r>
      <w:r>
        <w:rPr>
          <w:rStyle w:val="FootnoteReference"/>
        </w:rPr>
        <w:footnoteRef/>
      </w:r>
      <w:r>
        <w:t xml:space="preserve">  </w:t>
      </w:r>
      <w:r w:rsidR="00DE1760">
        <w:rPr>
          <w:i/>
        </w:rPr>
        <w:t>Id</w:t>
      </w:r>
      <w:r w:rsidR="00DE1760">
        <w:t>.</w:t>
      </w:r>
      <w:r>
        <w:t>; 16 TAC § 24.31(b)(1)(B).</w:t>
      </w:r>
    </w:p>
  </w:footnote>
  <w:footnote w:id="27">
    <w:p w14:paraId="53461E70" w14:textId="77777777" w:rsidR="00055551" w:rsidRDefault="00055551" w:rsidP="00287D4C">
      <w:pPr>
        <w:pStyle w:val="FootnoteText"/>
        <w:spacing w:after="120"/>
      </w:pPr>
      <w:r>
        <w:tab/>
      </w:r>
      <w:r>
        <w:rPr>
          <w:rStyle w:val="FootnoteReference"/>
        </w:rPr>
        <w:footnoteRef/>
      </w:r>
      <w:r>
        <w:t xml:space="preserve">  TWC § 13.185(j).</w:t>
      </w:r>
    </w:p>
  </w:footnote>
  <w:footnote w:id="28">
    <w:p w14:paraId="61CB843B" w14:textId="26B95A7E" w:rsidR="00055551" w:rsidRDefault="00055551" w:rsidP="00E7275C">
      <w:pPr>
        <w:pStyle w:val="FootnoteText"/>
        <w:spacing w:after="120"/>
      </w:pPr>
      <w:r>
        <w:tab/>
      </w:r>
      <w:r>
        <w:rPr>
          <w:rStyle w:val="FootnoteReference"/>
        </w:rPr>
        <w:footnoteRef/>
      </w:r>
      <w:r>
        <w:t xml:space="preserve">  </w:t>
      </w:r>
      <w:r w:rsidR="00DE1760">
        <w:rPr>
          <w:i/>
        </w:rPr>
        <w:t>Id</w:t>
      </w:r>
      <w:r w:rsidR="00DE1760">
        <w:t xml:space="preserve">. </w:t>
      </w:r>
      <w:r>
        <w:t xml:space="preserve"> § 13.183(a)(1).</w:t>
      </w:r>
    </w:p>
  </w:footnote>
  <w:footnote w:id="29">
    <w:p w14:paraId="579CC6FD" w14:textId="08DC570B" w:rsidR="00055551" w:rsidRDefault="00055551" w:rsidP="00E7275C">
      <w:pPr>
        <w:pStyle w:val="FootnoteText"/>
        <w:spacing w:after="120"/>
      </w:pPr>
      <w:r>
        <w:tab/>
      </w:r>
      <w:r>
        <w:rPr>
          <w:rStyle w:val="FootnoteReference"/>
        </w:rPr>
        <w:footnoteRef/>
      </w:r>
      <w:r>
        <w:t xml:space="preserve">  </w:t>
      </w:r>
      <w:r w:rsidR="00DE1760">
        <w:rPr>
          <w:i/>
        </w:rPr>
        <w:t>Id</w:t>
      </w:r>
      <w:r w:rsidR="00DE1760">
        <w:t xml:space="preserve">. </w:t>
      </w:r>
      <w:r>
        <w:t xml:space="preserve"> § 13.185(b).</w:t>
      </w:r>
    </w:p>
  </w:footnote>
  <w:footnote w:id="30">
    <w:p w14:paraId="348AC5E8" w14:textId="065AC4BB" w:rsidR="00055551" w:rsidRPr="00830663" w:rsidRDefault="00055551" w:rsidP="00E7275C">
      <w:pPr>
        <w:pStyle w:val="FootnoteText"/>
        <w:spacing w:after="120"/>
      </w:pPr>
      <w:r>
        <w:tab/>
      </w:r>
      <w:r>
        <w:rPr>
          <w:rStyle w:val="FootnoteReference"/>
        </w:rPr>
        <w:footnoteRef/>
      </w:r>
      <w:r>
        <w:t xml:space="preserve">  </w:t>
      </w:r>
      <w:r w:rsidR="00DE1760">
        <w:rPr>
          <w:i/>
        </w:rPr>
        <w:t>Id</w:t>
      </w:r>
      <w:r>
        <w:t>.</w:t>
      </w:r>
    </w:p>
  </w:footnote>
  <w:footnote w:id="31">
    <w:p w14:paraId="4AD721A2" w14:textId="3A8F0ABE" w:rsidR="00055551" w:rsidRDefault="00055551" w:rsidP="00E7275C">
      <w:pPr>
        <w:pStyle w:val="FootnoteText"/>
        <w:spacing w:after="120"/>
      </w:pPr>
      <w:r>
        <w:tab/>
      </w:r>
      <w:r>
        <w:rPr>
          <w:rStyle w:val="FootnoteReference"/>
        </w:rPr>
        <w:footnoteRef/>
      </w:r>
      <w:r>
        <w:t xml:space="preserve">  </w:t>
      </w:r>
      <w:r w:rsidR="00DE1760">
        <w:rPr>
          <w:i/>
        </w:rPr>
        <w:t>Id</w:t>
      </w:r>
      <w:r>
        <w:t>.</w:t>
      </w:r>
    </w:p>
  </w:footnote>
  <w:footnote w:id="32">
    <w:p w14:paraId="3A322137" w14:textId="25051FDB" w:rsidR="00055551" w:rsidRDefault="00055551" w:rsidP="00A87CD7">
      <w:pPr>
        <w:pStyle w:val="FootnoteText"/>
        <w:spacing w:after="120"/>
      </w:pPr>
      <w:r>
        <w:tab/>
      </w:r>
      <w:r>
        <w:rPr>
          <w:rStyle w:val="FootnoteReference"/>
        </w:rPr>
        <w:footnoteRef/>
      </w:r>
      <w:r>
        <w:t xml:space="preserve"> </w:t>
      </w:r>
      <w:r w:rsidR="00F4683B">
        <w:t xml:space="preserve"> </w:t>
      </w:r>
      <w:r w:rsidR="00DE1760">
        <w:rPr>
          <w:i/>
        </w:rPr>
        <w:t>Id</w:t>
      </w:r>
      <w:r w:rsidR="00DE1760">
        <w:t>.</w:t>
      </w:r>
      <w:r>
        <w:t xml:space="preserve">; </w:t>
      </w:r>
      <w:r>
        <w:rPr>
          <w:i/>
        </w:rPr>
        <w:t>see also</w:t>
      </w:r>
      <w:r>
        <w:t xml:space="preserve"> TWC § 13.183(b) (“</w:t>
      </w:r>
      <w:r w:rsidRPr="003E2911">
        <w:rPr>
          <w:color w:val="000000"/>
          <w:szCs w:val="24"/>
          <w:shd w:val="clear" w:color="auto" w:fill="FFFFFF"/>
        </w:rPr>
        <w:t>A facility constructed with surcharge funds is considered customer contributed capital or contributions in aid of construction and may not be included in invested capital, and depreciation expense is not allowed</w:t>
      </w:r>
      <w:r>
        <w:t>”).</w:t>
      </w:r>
    </w:p>
  </w:footnote>
  <w:footnote w:id="33">
    <w:p w14:paraId="3A086142" w14:textId="6E87FB90" w:rsidR="008D6507" w:rsidRPr="008D6507" w:rsidRDefault="00055551" w:rsidP="008D6507">
      <w:pPr>
        <w:pStyle w:val="FootnoteText"/>
        <w:spacing w:after="120"/>
      </w:pPr>
      <w:r>
        <w:tab/>
      </w:r>
      <w:r>
        <w:rPr>
          <w:rStyle w:val="FootnoteReference"/>
        </w:rPr>
        <w:footnoteRef/>
      </w:r>
      <w:r>
        <w:t xml:space="preserve">  16 TAC § 24.31(c)(3)(D)-(E).</w:t>
      </w:r>
    </w:p>
  </w:footnote>
  <w:footnote w:id="34">
    <w:p w14:paraId="383BD827" w14:textId="7A3A5120" w:rsidR="008D6507" w:rsidRDefault="008D6507">
      <w:pPr>
        <w:pStyle w:val="FootnoteText"/>
      </w:pPr>
      <w:r>
        <w:tab/>
      </w:r>
      <w:r>
        <w:rPr>
          <w:rStyle w:val="FootnoteReference"/>
        </w:rPr>
        <w:footnoteRef/>
      </w:r>
      <w:r>
        <w:t xml:space="preserve">  </w:t>
      </w:r>
      <w:r>
        <w:rPr>
          <w:i/>
        </w:rPr>
        <w:t xml:space="preserve">See generally, </w:t>
      </w:r>
      <w:r>
        <w:t>26 C.F.R. § 1.118-2 (2018).</w:t>
      </w:r>
    </w:p>
  </w:footnote>
  <w:footnote w:id="35">
    <w:p w14:paraId="61746221" w14:textId="42A84149" w:rsidR="00C23390" w:rsidRDefault="00C23390" w:rsidP="00F4683B">
      <w:pPr>
        <w:pStyle w:val="FootnoteText"/>
        <w:spacing w:after="120"/>
        <w:ind w:firstLine="720"/>
      </w:pPr>
      <w:r>
        <w:rPr>
          <w:rStyle w:val="FootnoteReference"/>
        </w:rPr>
        <w:footnoteRef/>
      </w:r>
      <w:r w:rsidR="00F4683B">
        <w:t xml:space="preserve">  </w:t>
      </w:r>
      <w:r>
        <w:t>TWC § 13.183(a).</w:t>
      </w:r>
    </w:p>
  </w:footnote>
  <w:footnote w:id="36">
    <w:p w14:paraId="16666CA9" w14:textId="08C40328" w:rsidR="00740632" w:rsidRDefault="00740632" w:rsidP="00740632">
      <w:pPr>
        <w:pStyle w:val="FootnoteText"/>
        <w:ind w:firstLine="720"/>
      </w:pPr>
      <w:r>
        <w:rPr>
          <w:rStyle w:val="FootnoteReference"/>
        </w:rPr>
        <w:footnoteRef/>
      </w:r>
      <w:r w:rsidR="00F4683B">
        <w:t xml:space="preserve">  </w:t>
      </w:r>
      <w:r w:rsidR="00DE1760">
        <w:rPr>
          <w:i/>
        </w:rPr>
        <w:t>Id</w:t>
      </w:r>
      <w:r w:rsidR="00DE1760">
        <w:t xml:space="preserve">. </w:t>
      </w:r>
      <w:r>
        <w:t>§ 13.183(b).</w:t>
      </w:r>
    </w:p>
  </w:footnote>
  <w:footnote w:id="37">
    <w:p w14:paraId="249C142E" w14:textId="77777777" w:rsidR="00055551" w:rsidRDefault="00055551" w:rsidP="00AB5F54">
      <w:pPr>
        <w:pStyle w:val="FootnoteText"/>
        <w:spacing w:after="120"/>
      </w:pPr>
      <w:r>
        <w:tab/>
      </w:r>
      <w:r>
        <w:rPr>
          <w:rStyle w:val="FootnoteReference"/>
        </w:rPr>
        <w:footnoteRef/>
      </w:r>
      <w:r>
        <w:t xml:space="preserve">  Ex. </w:t>
      </w:r>
      <w:r w:rsidRPr="00F41958">
        <w:t>DDU-3 at 7 of 27, 10 of 27.</w:t>
      </w:r>
    </w:p>
  </w:footnote>
  <w:footnote w:id="38">
    <w:p w14:paraId="12BEE27C" w14:textId="6F086459" w:rsidR="00055551" w:rsidRDefault="00055551" w:rsidP="00AB5F54">
      <w:pPr>
        <w:pStyle w:val="FootnoteText"/>
        <w:spacing w:after="120"/>
      </w:pPr>
      <w:r>
        <w:tab/>
      </w:r>
      <w:r>
        <w:rPr>
          <w:rStyle w:val="FootnoteReference"/>
        </w:rPr>
        <w:footnoteRef/>
      </w:r>
      <w:r w:rsidR="008801FB">
        <w:t xml:space="preserve">  Tr. at 56:2-6 (Gracy </w:t>
      </w:r>
      <w:r>
        <w:t>Cross) (Oct. 24, 2017).</w:t>
      </w:r>
    </w:p>
  </w:footnote>
  <w:footnote w:id="39">
    <w:p w14:paraId="4003643F" w14:textId="18EF131C" w:rsidR="00055551" w:rsidRDefault="00055551" w:rsidP="00506057">
      <w:pPr>
        <w:pStyle w:val="FootnoteText"/>
        <w:spacing w:after="120"/>
      </w:pPr>
      <w:r>
        <w:tab/>
      </w:r>
      <w:r>
        <w:rPr>
          <w:rStyle w:val="FootnoteReference"/>
        </w:rPr>
        <w:footnoteRef/>
      </w:r>
      <w:r>
        <w:t xml:space="preserve">  </w:t>
      </w:r>
      <w:r w:rsidR="00DE1760">
        <w:rPr>
          <w:i/>
        </w:rPr>
        <w:t>Id</w:t>
      </w:r>
      <w:r w:rsidR="00DE1760">
        <w:t xml:space="preserve">. </w:t>
      </w:r>
      <w:r w:rsidR="008801FB">
        <w:t>at 67:6-20</w:t>
      </w:r>
      <w:r>
        <w:t xml:space="preserve">.  </w:t>
      </w:r>
    </w:p>
  </w:footnote>
  <w:footnote w:id="40">
    <w:p w14:paraId="5D299D60" w14:textId="77777777" w:rsidR="00055551" w:rsidRDefault="00055551" w:rsidP="00B52D0F">
      <w:pPr>
        <w:pStyle w:val="FootnoteText"/>
        <w:spacing w:after="120"/>
      </w:pPr>
      <w:r>
        <w:tab/>
      </w:r>
      <w:r>
        <w:rPr>
          <w:rStyle w:val="FootnoteReference"/>
        </w:rPr>
        <w:footnoteRef/>
      </w:r>
      <w:r>
        <w:t xml:space="preserve">  Ex. </w:t>
      </w:r>
      <w:r w:rsidRPr="00AF5C5A">
        <w:t>DDU-6C</w:t>
      </w:r>
      <w:r>
        <w:t xml:space="preserve"> at 44-48 of 89.</w:t>
      </w:r>
    </w:p>
  </w:footnote>
  <w:footnote w:id="41">
    <w:p w14:paraId="20875992" w14:textId="0B16EE23" w:rsidR="00055551" w:rsidRDefault="00055551" w:rsidP="00C97788">
      <w:pPr>
        <w:pStyle w:val="FootnoteText"/>
        <w:spacing w:after="120"/>
      </w:pPr>
      <w:r>
        <w:tab/>
      </w:r>
      <w:r>
        <w:rPr>
          <w:rStyle w:val="FootnoteReference"/>
        </w:rPr>
        <w:footnoteRef/>
      </w:r>
      <w:r>
        <w:t xml:space="preserve">  </w:t>
      </w:r>
      <w:r w:rsidR="00DE1760">
        <w:rPr>
          <w:i/>
        </w:rPr>
        <w:t>Id</w:t>
      </w:r>
      <w:r w:rsidR="00DE1760">
        <w:t xml:space="preserve">. </w:t>
      </w:r>
      <w:r>
        <w:t>at 49-52 of 89.</w:t>
      </w:r>
    </w:p>
  </w:footnote>
  <w:footnote w:id="42">
    <w:p w14:paraId="03840CE3" w14:textId="77777777" w:rsidR="00055551" w:rsidRDefault="00055551" w:rsidP="00771BFE">
      <w:pPr>
        <w:pStyle w:val="FootnoteText"/>
        <w:spacing w:after="120"/>
      </w:pPr>
      <w:r>
        <w:tab/>
      </w:r>
      <w:r>
        <w:rPr>
          <w:rStyle w:val="FootnoteReference"/>
        </w:rPr>
        <w:footnoteRef/>
      </w:r>
      <w:r>
        <w:t xml:space="preserve">  Workpapers of Nelisa Heddin, </w:t>
      </w:r>
      <w:r w:rsidRPr="00DE1760">
        <w:t>Ex. WBRG-1M</w:t>
      </w:r>
      <w:r>
        <w:t xml:space="preserve"> at WBRG000135. </w:t>
      </w:r>
    </w:p>
  </w:footnote>
  <w:footnote w:id="43">
    <w:p w14:paraId="7BEF0194" w14:textId="34D2DBAB" w:rsidR="00055551" w:rsidRDefault="00055551" w:rsidP="001F692A">
      <w:pPr>
        <w:pStyle w:val="FootnoteText"/>
        <w:spacing w:after="120"/>
      </w:pPr>
      <w:r>
        <w:tab/>
      </w:r>
      <w:r>
        <w:rPr>
          <w:rStyle w:val="FootnoteReference"/>
        </w:rPr>
        <w:footnoteRef/>
      </w:r>
      <w:r>
        <w:t xml:space="preserve"> Tr. at 67:6-20 (G</w:t>
      </w:r>
      <w:r w:rsidR="008801FB">
        <w:t xml:space="preserve">racy </w:t>
      </w:r>
      <w:r>
        <w:t xml:space="preserve">Cross) (Oct. 24, 2017).  </w:t>
      </w:r>
    </w:p>
  </w:footnote>
  <w:footnote w:id="44">
    <w:p w14:paraId="1B1C95E9" w14:textId="77777777" w:rsidR="00055551" w:rsidRDefault="00055551" w:rsidP="00851BE9">
      <w:pPr>
        <w:pStyle w:val="FootnoteText"/>
        <w:spacing w:after="120"/>
      </w:pPr>
      <w:r>
        <w:tab/>
      </w:r>
      <w:r>
        <w:rPr>
          <w:rStyle w:val="FootnoteReference"/>
        </w:rPr>
        <w:footnoteRef/>
      </w:r>
      <w:r>
        <w:t xml:space="preserve">  </w:t>
      </w:r>
      <w:r w:rsidRPr="00C97788">
        <w:t>Ex. WBRG-1M</w:t>
      </w:r>
      <w:r>
        <w:t xml:space="preserve"> at WBRG000022, WBRG000132.</w:t>
      </w:r>
    </w:p>
  </w:footnote>
  <w:footnote w:id="45">
    <w:p w14:paraId="32AFCAF6" w14:textId="4EAC37F0" w:rsidR="00055551" w:rsidRDefault="00055551" w:rsidP="00851BE9">
      <w:pPr>
        <w:pStyle w:val="FootnoteText"/>
        <w:spacing w:after="120"/>
      </w:pPr>
      <w:r>
        <w:tab/>
      </w:r>
      <w:r>
        <w:rPr>
          <w:rStyle w:val="FootnoteReference"/>
        </w:rPr>
        <w:footnoteRef/>
      </w:r>
      <w:r>
        <w:t xml:space="preserve">  </w:t>
      </w:r>
      <w:r w:rsidR="00DE1760">
        <w:rPr>
          <w:i/>
        </w:rPr>
        <w:t>Id</w:t>
      </w:r>
      <w:r w:rsidR="00DE1760">
        <w:t>.</w:t>
      </w:r>
    </w:p>
  </w:footnote>
  <w:footnote w:id="46">
    <w:p w14:paraId="37CEF069" w14:textId="3CFA6D13" w:rsidR="00AC634B" w:rsidRPr="00AC634B" w:rsidRDefault="00AC634B" w:rsidP="00AC634B">
      <w:pPr>
        <w:pStyle w:val="FootnoteText"/>
        <w:spacing w:after="120"/>
      </w:pPr>
      <w:r>
        <w:tab/>
      </w:r>
      <w:r>
        <w:rPr>
          <w:rStyle w:val="FootnoteReference"/>
        </w:rPr>
        <w:footnoteRef/>
      </w:r>
      <w:r>
        <w:t xml:space="preserve"> </w:t>
      </w:r>
      <w:r>
        <w:rPr>
          <w:i/>
        </w:rPr>
        <w:t>Sunbelt</w:t>
      </w:r>
      <w:r>
        <w:t>, 589 S.W.2d at 393.</w:t>
      </w:r>
    </w:p>
  </w:footnote>
  <w:footnote w:id="47">
    <w:p w14:paraId="5B364020" w14:textId="3A34DE0D" w:rsidR="00AC634B" w:rsidRDefault="00AC634B">
      <w:pPr>
        <w:pStyle w:val="FootnoteText"/>
      </w:pPr>
      <w:r>
        <w:tab/>
      </w:r>
      <w:r>
        <w:rPr>
          <w:rStyle w:val="FootnoteReference"/>
        </w:rPr>
        <w:footnoteRef/>
      </w:r>
      <w:r>
        <w:t xml:space="preserve">  </w:t>
      </w:r>
      <w:r>
        <w:rPr>
          <w:i/>
        </w:rPr>
        <w:t>Id</w:t>
      </w:r>
      <w:r>
        <w:t>.</w:t>
      </w:r>
    </w:p>
  </w:footnote>
  <w:footnote w:id="48">
    <w:p w14:paraId="7CE58A7E" w14:textId="39FF2D06" w:rsidR="00AC634B" w:rsidRDefault="00AC634B" w:rsidP="00AC634B">
      <w:pPr>
        <w:pStyle w:val="FootnoteText"/>
        <w:spacing w:after="120"/>
      </w:pPr>
      <w:r>
        <w:tab/>
      </w:r>
      <w:r>
        <w:rPr>
          <w:rStyle w:val="FootnoteReference"/>
        </w:rPr>
        <w:footnoteRef/>
      </w:r>
      <w:r>
        <w:t xml:space="preserve">  </w:t>
      </w:r>
      <w:r>
        <w:rPr>
          <w:i/>
        </w:rPr>
        <w:t>Id</w:t>
      </w:r>
      <w:r>
        <w:t>.</w:t>
      </w:r>
    </w:p>
  </w:footnote>
  <w:footnote w:id="49">
    <w:p w14:paraId="648458A4" w14:textId="1C8F215A" w:rsidR="00AC634B" w:rsidRDefault="00AC634B" w:rsidP="00AC634B">
      <w:pPr>
        <w:pStyle w:val="FootnoteText"/>
        <w:spacing w:after="120"/>
      </w:pPr>
      <w:r>
        <w:tab/>
      </w:r>
      <w:r>
        <w:rPr>
          <w:rStyle w:val="FootnoteReference"/>
        </w:rPr>
        <w:footnoteRef/>
      </w:r>
      <w:r>
        <w:t xml:space="preserve">  </w:t>
      </w:r>
      <w:r>
        <w:rPr>
          <w:i/>
        </w:rPr>
        <w:t>Id</w:t>
      </w:r>
      <w:r>
        <w:t>.</w:t>
      </w:r>
    </w:p>
  </w:footnote>
  <w:footnote w:id="50">
    <w:p w14:paraId="7588B41F" w14:textId="78096C5D" w:rsidR="00AC634B" w:rsidRDefault="00AC634B" w:rsidP="00AC634B">
      <w:pPr>
        <w:pStyle w:val="FootnoteText"/>
        <w:spacing w:after="120"/>
      </w:pPr>
      <w:r>
        <w:tab/>
      </w:r>
      <w:r>
        <w:rPr>
          <w:rStyle w:val="FootnoteReference"/>
        </w:rPr>
        <w:footnoteRef/>
      </w:r>
      <w:r>
        <w:t xml:space="preserve">  </w:t>
      </w:r>
      <w:r>
        <w:rPr>
          <w:i/>
        </w:rPr>
        <w:t>Id</w:t>
      </w:r>
      <w:r>
        <w:t>.</w:t>
      </w:r>
    </w:p>
  </w:footnote>
  <w:footnote w:id="51">
    <w:p w14:paraId="72336301" w14:textId="2E010429" w:rsidR="00AC634B" w:rsidRDefault="00AC634B" w:rsidP="00AC634B">
      <w:pPr>
        <w:pStyle w:val="FootnoteText"/>
        <w:spacing w:after="120"/>
      </w:pPr>
      <w:r>
        <w:tab/>
      </w:r>
      <w:r>
        <w:rPr>
          <w:rStyle w:val="FootnoteReference"/>
        </w:rPr>
        <w:footnoteRef/>
      </w:r>
      <w:r>
        <w:t xml:space="preserve">  </w:t>
      </w:r>
      <w:r>
        <w:rPr>
          <w:i/>
        </w:rPr>
        <w:t>Id</w:t>
      </w:r>
      <w:r>
        <w:t>. at 394.</w:t>
      </w:r>
    </w:p>
  </w:footnote>
  <w:footnote w:id="52">
    <w:p w14:paraId="34E28D74" w14:textId="3C78E898" w:rsidR="00AC634B" w:rsidRDefault="00AC634B" w:rsidP="00AC634B">
      <w:pPr>
        <w:pStyle w:val="FootnoteText"/>
        <w:spacing w:after="120"/>
      </w:pPr>
      <w:r>
        <w:tab/>
      </w:r>
      <w:r>
        <w:rPr>
          <w:rStyle w:val="FootnoteReference"/>
        </w:rPr>
        <w:footnoteRef/>
      </w:r>
      <w:r>
        <w:t xml:space="preserve">  </w:t>
      </w:r>
      <w:r>
        <w:rPr>
          <w:i/>
        </w:rPr>
        <w:t>Id</w:t>
      </w:r>
      <w:r>
        <w:t>. at 394-95.</w:t>
      </w:r>
    </w:p>
  </w:footnote>
  <w:footnote w:id="53">
    <w:p w14:paraId="53F0F2FA" w14:textId="6F102908" w:rsidR="00055551" w:rsidRDefault="00055551" w:rsidP="00DA65B9">
      <w:pPr>
        <w:pStyle w:val="FootnoteText"/>
        <w:spacing w:after="120"/>
      </w:pPr>
      <w:r>
        <w:tab/>
      </w:r>
      <w:r>
        <w:rPr>
          <w:rStyle w:val="FootnoteReference"/>
        </w:rPr>
        <w:footnoteRef/>
      </w:r>
      <w:r w:rsidR="00DE1760">
        <w:t xml:space="preserve">  Double Diamond Utility Company, Inc.</w:t>
      </w:r>
      <w:r>
        <w:t>’s Initial Brief at 21 of 32</w:t>
      </w:r>
      <w:r w:rsidR="00DE1760">
        <w:t xml:space="preserve"> (Nov. 22, 2018)</w:t>
      </w:r>
      <w:r>
        <w:t>.</w:t>
      </w:r>
    </w:p>
  </w:footnote>
  <w:footnote w:id="54">
    <w:p w14:paraId="5DA641ED" w14:textId="387875E0" w:rsidR="00055551" w:rsidRPr="0011233C" w:rsidRDefault="00055551" w:rsidP="00DA65B9">
      <w:pPr>
        <w:pStyle w:val="FootnoteText"/>
        <w:spacing w:after="120"/>
      </w:pPr>
      <w:r>
        <w:tab/>
      </w:r>
      <w:r>
        <w:rPr>
          <w:rStyle w:val="FootnoteReference"/>
        </w:rPr>
        <w:footnoteRef/>
      </w:r>
      <w:r>
        <w:t xml:space="preserve">  Ex</w:t>
      </w:r>
      <w:r w:rsidRPr="00985130">
        <w:t>. DDU-3 at</w:t>
      </w:r>
      <w:r>
        <w:t xml:space="preserve"> 8 of 27; </w:t>
      </w:r>
      <w:r>
        <w:rPr>
          <w:i/>
        </w:rPr>
        <w:t>see also</w:t>
      </w:r>
      <w:r w:rsidR="008801FB">
        <w:t xml:space="preserve">, Tr. at 214:5-14 (Joyce </w:t>
      </w:r>
      <w:r>
        <w:t>Cross) (Oct. 24, 2017).</w:t>
      </w:r>
    </w:p>
  </w:footnote>
  <w:footnote w:id="55">
    <w:p w14:paraId="4E3C0A85" w14:textId="6EE86A3A" w:rsidR="00055551" w:rsidRDefault="00055551" w:rsidP="00DA65B9">
      <w:pPr>
        <w:pStyle w:val="FootnoteText"/>
        <w:spacing w:after="120"/>
      </w:pPr>
      <w:r>
        <w:tab/>
      </w:r>
      <w:r>
        <w:rPr>
          <w:rStyle w:val="FootnoteReference"/>
        </w:rPr>
        <w:footnoteRef/>
      </w:r>
      <w:r>
        <w:t xml:space="preserve">  Tr. at 156:11-22 (Grout</w:t>
      </w:r>
      <w:r w:rsidR="008801FB">
        <w:t xml:space="preserve"> </w:t>
      </w:r>
      <w:r w:rsidR="00A01C42">
        <w:t>Cross) (Oct. 24, 2017).</w:t>
      </w:r>
    </w:p>
  </w:footnote>
  <w:footnote w:id="56">
    <w:p w14:paraId="706C7FF5" w14:textId="77777777" w:rsidR="00055551" w:rsidRPr="00F41958" w:rsidRDefault="00055551" w:rsidP="00DA65B9">
      <w:pPr>
        <w:pStyle w:val="FootnoteText"/>
        <w:spacing w:after="120"/>
      </w:pPr>
      <w:r>
        <w:tab/>
      </w:r>
      <w:r>
        <w:rPr>
          <w:rStyle w:val="FootnoteReference"/>
        </w:rPr>
        <w:footnoteRef/>
      </w:r>
      <w:r>
        <w:t xml:space="preserve">  White Bluff Real Estate Sales Contract</w:t>
      </w:r>
      <w:r w:rsidRPr="00F41958">
        <w:t xml:space="preserve">, </w:t>
      </w:r>
      <w:r w:rsidRPr="00DE1760">
        <w:t>Ex. WBRG-1G</w:t>
      </w:r>
      <w:r w:rsidRPr="00F41958">
        <w:t xml:space="preserve"> at WBRG000091. </w:t>
      </w:r>
    </w:p>
  </w:footnote>
  <w:footnote w:id="57">
    <w:p w14:paraId="0D75CC93" w14:textId="40AFFF4D" w:rsidR="00055551" w:rsidRDefault="00055551" w:rsidP="00B363AE">
      <w:pPr>
        <w:pStyle w:val="FootnoteText"/>
        <w:spacing w:after="120"/>
      </w:pPr>
      <w:r w:rsidRPr="00F41958">
        <w:tab/>
      </w:r>
      <w:r w:rsidRPr="00F41958">
        <w:rPr>
          <w:rStyle w:val="FootnoteReference"/>
        </w:rPr>
        <w:footnoteRef/>
      </w:r>
      <w:r w:rsidRPr="00F41958">
        <w:t xml:space="preserve">  </w:t>
      </w:r>
      <w:r w:rsidR="00DE1760">
        <w:rPr>
          <w:i/>
        </w:rPr>
        <w:t>Id</w:t>
      </w:r>
      <w:r w:rsidR="00DE1760">
        <w:t xml:space="preserve">. </w:t>
      </w:r>
      <w:r>
        <w:t xml:space="preserve">at </w:t>
      </w:r>
      <w:r w:rsidRPr="00F41958">
        <w:t>WBRG000092</w:t>
      </w:r>
      <w:r>
        <w:t>.</w:t>
      </w:r>
    </w:p>
  </w:footnote>
  <w:footnote w:id="58">
    <w:p w14:paraId="0E2CD081" w14:textId="600072A2" w:rsidR="00B363AE" w:rsidRPr="00B363AE" w:rsidRDefault="00B363AE" w:rsidP="00AC634B">
      <w:pPr>
        <w:pStyle w:val="FootnoteText"/>
        <w:spacing w:after="120"/>
      </w:pPr>
      <w:r>
        <w:tab/>
      </w:r>
      <w:r>
        <w:rPr>
          <w:rStyle w:val="FootnoteReference"/>
        </w:rPr>
        <w:footnoteRef/>
      </w:r>
      <w:r>
        <w:t xml:space="preserve">  </w:t>
      </w:r>
      <w:r>
        <w:rPr>
          <w:i/>
        </w:rPr>
        <w:t xml:space="preserve">Sunbelt, </w:t>
      </w:r>
      <w:r>
        <w:t xml:space="preserve">589 S.W.2d at 393-94. </w:t>
      </w:r>
    </w:p>
  </w:footnote>
  <w:footnote w:id="59">
    <w:p w14:paraId="5B674E33" w14:textId="1C5DDF47" w:rsidR="00696C5C" w:rsidRDefault="00696C5C">
      <w:pPr>
        <w:pStyle w:val="FootnoteText"/>
      </w:pPr>
      <w:r>
        <w:tab/>
      </w:r>
      <w:r>
        <w:rPr>
          <w:rStyle w:val="FootnoteReference"/>
        </w:rPr>
        <w:footnoteRef/>
      </w:r>
      <w:r>
        <w:t xml:space="preserve">  The Cliffs Utility Committee’s Motion to Reopen the Record for Admission of Lot Sales Agreement (May 22, 2018).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55AA0" w14:textId="77777777" w:rsidR="001A0802" w:rsidRDefault="001A080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DDF8F4" w14:textId="77777777" w:rsidR="001A0802" w:rsidRDefault="001A080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C82D6" w14:textId="77777777" w:rsidR="001A0802" w:rsidRDefault="001A08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C8504A"/>
    <w:multiLevelType w:val="hybridMultilevel"/>
    <w:tmpl w:val="E41ECF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602368E9"/>
    <w:multiLevelType w:val="hybridMultilevel"/>
    <w:tmpl w:val="F558D4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6A3843A8"/>
    <w:multiLevelType w:val="multilevel"/>
    <w:tmpl w:val="39EA381C"/>
    <w:lvl w:ilvl="0">
      <w:start w:val="1"/>
      <w:numFmt w:val="upperRoman"/>
      <w:pStyle w:val="Heading1"/>
      <w:lvlText w:val="%1."/>
      <w:lvlJc w:val="left"/>
      <w:pPr>
        <w:ind w:left="0" w:firstLine="0"/>
      </w:pPr>
      <w:rPr>
        <w:rFonts w:hint="default"/>
      </w:rPr>
    </w:lvl>
    <w:lvl w:ilvl="1">
      <w:start w:val="1"/>
      <w:numFmt w:val="upperLetter"/>
      <w:pStyle w:val="Heading2"/>
      <w:lvlText w:val="%2."/>
      <w:lvlJc w:val="left"/>
      <w:pPr>
        <w:ind w:left="720" w:firstLine="0"/>
      </w:pPr>
      <w:rPr>
        <w:sz w:val="24"/>
        <w:szCs w:val="24"/>
      </w:r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1"/>
  </w:num>
  <w:num w:numId="3">
    <w:abstractNumId w:val="3"/>
  </w:num>
  <w:num w:numId="4">
    <w:abstractNumId w:val="2"/>
  </w:num>
  <w:num w:numId="5">
    <w:abstractNumId w:val="10"/>
  </w:num>
  <w:num w:numId="6">
    <w:abstractNumId w:val="9"/>
  </w:num>
  <w:num w:numId="7">
    <w:abstractNumId w:val="4"/>
  </w:num>
  <w:num w:numId="8">
    <w:abstractNumId w:val="5"/>
  </w:num>
  <w:num w:numId="9">
    <w:abstractNumId w:val="7"/>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06C5"/>
    <w:rsid w:val="0000107F"/>
    <w:rsid w:val="000014D2"/>
    <w:rsid w:val="000038EE"/>
    <w:rsid w:val="00003FE4"/>
    <w:rsid w:val="00006869"/>
    <w:rsid w:val="000123B0"/>
    <w:rsid w:val="000134BB"/>
    <w:rsid w:val="0001422F"/>
    <w:rsid w:val="00015160"/>
    <w:rsid w:val="00015918"/>
    <w:rsid w:val="000204BE"/>
    <w:rsid w:val="000233F8"/>
    <w:rsid w:val="00024A22"/>
    <w:rsid w:val="000322DC"/>
    <w:rsid w:val="00032B20"/>
    <w:rsid w:val="0003758C"/>
    <w:rsid w:val="0004037F"/>
    <w:rsid w:val="000433B8"/>
    <w:rsid w:val="00050EC3"/>
    <w:rsid w:val="00051DBE"/>
    <w:rsid w:val="000530F6"/>
    <w:rsid w:val="00055551"/>
    <w:rsid w:val="00060186"/>
    <w:rsid w:val="0006039C"/>
    <w:rsid w:val="000621BB"/>
    <w:rsid w:val="000638CA"/>
    <w:rsid w:val="00066912"/>
    <w:rsid w:val="00071FF4"/>
    <w:rsid w:val="000767DB"/>
    <w:rsid w:val="000814EA"/>
    <w:rsid w:val="000857EC"/>
    <w:rsid w:val="00087269"/>
    <w:rsid w:val="00092B02"/>
    <w:rsid w:val="0009361B"/>
    <w:rsid w:val="0009426E"/>
    <w:rsid w:val="00094D6D"/>
    <w:rsid w:val="000A32ED"/>
    <w:rsid w:val="000B10C9"/>
    <w:rsid w:val="000B163B"/>
    <w:rsid w:val="000B1812"/>
    <w:rsid w:val="000B23B4"/>
    <w:rsid w:val="000B64AC"/>
    <w:rsid w:val="000B72D2"/>
    <w:rsid w:val="000B77AA"/>
    <w:rsid w:val="000C27D4"/>
    <w:rsid w:val="000C38B9"/>
    <w:rsid w:val="000C3B73"/>
    <w:rsid w:val="000C4031"/>
    <w:rsid w:val="000C6AF9"/>
    <w:rsid w:val="000C7F55"/>
    <w:rsid w:val="000D0F06"/>
    <w:rsid w:val="000D3CDD"/>
    <w:rsid w:val="000D5F63"/>
    <w:rsid w:val="000E26FE"/>
    <w:rsid w:val="000E5D08"/>
    <w:rsid w:val="000E6961"/>
    <w:rsid w:val="000F1B5D"/>
    <w:rsid w:val="000F1F40"/>
    <w:rsid w:val="000F2C18"/>
    <w:rsid w:val="000F564C"/>
    <w:rsid w:val="000F6A44"/>
    <w:rsid w:val="000F6BEB"/>
    <w:rsid w:val="000F7F9C"/>
    <w:rsid w:val="001015CC"/>
    <w:rsid w:val="00101E9A"/>
    <w:rsid w:val="00104BD4"/>
    <w:rsid w:val="00105646"/>
    <w:rsid w:val="00105804"/>
    <w:rsid w:val="00110DF5"/>
    <w:rsid w:val="00110F86"/>
    <w:rsid w:val="0011233C"/>
    <w:rsid w:val="001171A2"/>
    <w:rsid w:val="00120E90"/>
    <w:rsid w:val="0012243A"/>
    <w:rsid w:val="00122C66"/>
    <w:rsid w:val="00125E43"/>
    <w:rsid w:val="00127224"/>
    <w:rsid w:val="00132C88"/>
    <w:rsid w:val="001347B7"/>
    <w:rsid w:val="0013481F"/>
    <w:rsid w:val="001370E3"/>
    <w:rsid w:val="00141F3E"/>
    <w:rsid w:val="00143BAC"/>
    <w:rsid w:val="00143DBB"/>
    <w:rsid w:val="001442B4"/>
    <w:rsid w:val="00146B59"/>
    <w:rsid w:val="00146E09"/>
    <w:rsid w:val="00147053"/>
    <w:rsid w:val="00150608"/>
    <w:rsid w:val="00151409"/>
    <w:rsid w:val="00151914"/>
    <w:rsid w:val="00152E43"/>
    <w:rsid w:val="001548F4"/>
    <w:rsid w:val="001551DD"/>
    <w:rsid w:val="00156570"/>
    <w:rsid w:val="00162210"/>
    <w:rsid w:val="00165AE2"/>
    <w:rsid w:val="00166EF5"/>
    <w:rsid w:val="0016707F"/>
    <w:rsid w:val="00167865"/>
    <w:rsid w:val="00167B9A"/>
    <w:rsid w:val="00170C23"/>
    <w:rsid w:val="001711C0"/>
    <w:rsid w:val="0017204A"/>
    <w:rsid w:val="00172793"/>
    <w:rsid w:val="00174A2F"/>
    <w:rsid w:val="00176D68"/>
    <w:rsid w:val="001830EE"/>
    <w:rsid w:val="00184CE2"/>
    <w:rsid w:val="00197531"/>
    <w:rsid w:val="001979FC"/>
    <w:rsid w:val="001A0802"/>
    <w:rsid w:val="001A2D16"/>
    <w:rsid w:val="001A3CAF"/>
    <w:rsid w:val="001A6846"/>
    <w:rsid w:val="001A7DBE"/>
    <w:rsid w:val="001B0D9A"/>
    <w:rsid w:val="001B474E"/>
    <w:rsid w:val="001C0EBF"/>
    <w:rsid w:val="001C122E"/>
    <w:rsid w:val="001C28A6"/>
    <w:rsid w:val="001C2FA2"/>
    <w:rsid w:val="001C38BF"/>
    <w:rsid w:val="001C3BDA"/>
    <w:rsid w:val="001D0EFA"/>
    <w:rsid w:val="001D6340"/>
    <w:rsid w:val="001D6E32"/>
    <w:rsid w:val="001E0547"/>
    <w:rsid w:val="001E1E75"/>
    <w:rsid w:val="001E3479"/>
    <w:rsid w:val="001E55D1"/>
    <w:rsid w:val="001F1DD7"/>
    <w:rsid w:val="001F5FDD"/>
    <w:rsid w:val="001F6870"/>
    <w:rsid w:val="001F692A"/>
    <w:rsid w:val="00201516"/>
    <w:rsid w:val="0020243D"/>
    <w:rsid w:val="00203F62"/>
    <w:rsid w:val="0020473E"/>
    <w:rsid w:val="00204EF1"/>
    <w:rsid w:val="002151B1"/>
    <w:rsid w:val="0021567A"/>
    <w:rsid w:val="002171A2"/>
    <w:rsid w:val="00217977"/>
    <w:rsid w:val="0022173D"/>
    <w:rsid w:val="002241EF"/>
    <w:rsid w:val="00226C69"/>
    <w:rsid w:val="00227044"/>
    <w:rsid w:val="00230417"/>
    <w:rsid w:val="002306AB"/>
    <w:rsid w:val="0023091D"/>
    <w:rsid w:val="00231564"/>
    <w:rsid w:val="002329B6"/>
    <w:rsid w:val="0024219C"/>
    <w:rsid w:val="0024377E"/>
    <w:rsid w:val="00247F89"/>
    <w:rsid w:val="00253FE6"/>
    <w:rsid w:val="0025700B"/>
    <w:rsid w:val="002570FD"/>
    <w:rsid w:val="0026472E"/>
    <w:rsid w:val="00264C43"/>
    <w:rsid w:val="00265095"/>
    <w:rsid w:val="0026576A"/>
    <w:rsid w:val="00270C7B"/>
    <w:rsid w:val="00271524"/>
    <w:rsid w:val="00272208"/>
    <w:rsid w:val="00272498"/>
    <w:rsid w:val="00275AF9"/>
    <w:rsid w:val="00283F39"/>
    <w:rsid w:val="00285A49"/>
    <w:rsid w:val="00285B69"/>
    <w:rsid w:val="00286D26"/>
    <w:rsid w:val="00287D4C"/>
    <w:rsid w:val="0029005F"/>
    <w:rsid w:val="00296BA8"/>
    <w:rsid w:val="002A0192"/>
    <w:rsid w:val="002A3B60"/>
    <w:rsid w:val="002A4485"/>
    <w:rsid w:val="002A4C69"/>
    <w:rsid w:val="002A740C"/>
    <w:rsid w:val="002B4342"/>
    <w:rsid w:val="002B6CE0"/>
    <w:rsid w:val="002C263C"/>
    <w:rsid w:val="002C4C90"/>
    <w:rsid w:val="002C4C99"/>
    <w:rsid w:val="002C5D86"/>
    <w:rsid w:val="002C5EEC"/>
    <w:rsid w:val="002C67EE"/>
    <w:rsid w:val="002C6ED6"/>
    <w:rsid w:val="002D170C"/>
    <w:rsid w:val="002D260B"/>
    <w:rsid w:val="002D3A76"/>
    <w:rsid w:val="002D481E"/>
    <w:rsid w:val="002D543A"/>
    <w:rsid w:val="002D7F62"/>
    <w:rsid w:val="002E04C9"/>
    <w:rsid w:val="002E0B44"/>
    <w:rsid w:val="002E22D4"/>
    <w:rsid w:val="002E45FE"/>
    <w:rsid w:val="002E749D"/>
    <w:rsid w:val="002F08B6"/>
    <w:rsid w:val="002F479D"/>
    <w:rsid w:val="003021A2"/>
    <w:rsid w:val="003025A2"/>
    <w:rsid w:val="00303210"/>
    <w:rsid w:val="003033F1"/>
    <w:rsid w:val="00303A45"/>
    <w:rsid w:val="00305298"/>
    <w:rsid w:val="003065BB"/>
    <w:rsid w:val="0031505C"/>
    <w:rsid w:val="00315C1E"/>
    <w:rsid w:val="00316AD9"/>
    <w:rsid w:val="00322111"/>
    <w:rsid w:val="003264B6"/>
    <w:rsid w:val="00332458"/>
    <w:rsid w:val="0033258E"/>
    <w:rsid w:val="003346A4"/>
    <w:rsid w:val="00336ACF"/>
    <w:rsid w:val="003400E7"/>
    <w:rsid w:val="00341854"/>
    <w:rsid w:val="003451DE"/>
    <w:rsid w:val="003455B0"/>
    <w:rsid w:val="00350090"/>
    <w:rsid w:val="00357C92"/>
    <w:rsid w:val="003602F6"/>
    <w:rsid w:val="003608BC"/>
    <w:rsid w:val="00360A0C"/>
    <w:rsid w:val="00361FC8"/>
    <w:rsid w:val="00367779"/>
    <w:rsid w:val="00374091"/>
    <w:rsid w:val="003744AE"/>
    <w:rsid w:val="0037477B"/>
    <w:rsid w:val="00374F3E"/>
    <w:rsid w:val="00375F64"/>
    <w:rsid w:val="003772EA"/>
    <w:rsid w:val="00380BBE"/>
    <w:rsid w:val="00380E41"/>
    <w:rsid w:val="00384670"/>
    <w:rsid w:val="003849FF"/>
    <w:rsid w:val="00384BB8"/>
    <w:rsid w:val="0038660B"/>
    <w:rsid w:val="00391CAF"/>
    <w:rsid w:val="0039363F"/>
    <w:rsid w:val="0039385A"/>
    <w:rsid w:val="00393CAA"/>
    <w:rsid w:val="0039591B"/>
    <w:rsid w:val="00397341"/>
    <w:rsid w:val="003A0951"/>
    <w:rsid w:val="003A1B53"/>
    <w:rsid w:val="003A2B88"/>
    <w:rsid w:val="003A338C"/>
    <w:rsid w:val="003A53E1"/>
    <w:rsid w:val="003A7281"/>
    <w:rsid w:val="003B6280"/>
    <w:rsid w:val="003B7656"/>
    <w:rsid w:val="003C054D"/>
    <w:rsid w:val="003C0C4B"/>
    <w:rsid w:val="003C0E04"/>
    <w:rsid w:val="003C0E2D"/>
    <w:rsid w:val="003C20B1"/>
    <w:rsid w:val="003C3000"/>
    <w:rsid w:val="003C6393"/>
    <w:rsid w:val="003D152A"/>
    <w:rsid w:val="003D18E0"/>
    <w:rsid w:val="003D1D6C"/>
    <w:rsid w:val="003D2A49"/>
    <w:rsid w:val="003D4EBF"/>
    <w:rsid w:val="003D581D"/>
    <w:rsid w:val="003E0CF9"/>
    <w:rsid w:val="003E1AA5"/>
    <w:rsid w:val="003E2911"/>
    <w:rsid w:val="003E43DB"/>
    <w:rsid w:val="003E7A59"/>
    <w:rsid w:val="003F3E64"/>
    <w:rsid w:val="003F72A0"/>
    <w:rsid w:val="00403B88"/>
    <w:rsid w:val="00404493"/>
    <w:rsid w:val="00406A6C"/>
    <w:rsid w:val="00411512"/>
    <w:rsid w:val="00412457"/>
    <w:rsid w:val="0041248F"/>
    <w:rsid w:val="00413CBB"/>
    <w:rsid w:val="00422A05"/>
    <w:rsid w:val="00423664"/>
    <w:rsid w:val="004259C2"/>
    <w:rsid w:val="004274A1"/>
    <w:rsid w:val="0043243D"/>
    <w:rsid w:val="00434247"/>
    <w:rsid w:val="0043583D"/>
    <w:rsid w:val="00435C56"/>
    <w:rsid w:val="00437F13"/>
    <w:rsid w:val="00441E11"/>
    <w:rsid w:val="0044355D"/>
    <w:rsid w:val="00444560"/>
    <w:rsid w:val="00444FEA"/>
    <w:rsid w:val="004478B0"/>
    <w:rsid w:val="00450C29"/>
    <w:rsid w:val="00451532"/>
    <w:rsid w:val="00451ADC"/>
    <w:rsid w:val="00452A29"/>
    <w:rsid w:val="004540A3"/>
    <w:rsid w:val="004540CD"/>
    <w:rsid w:val="00455AFE"/>
    <w:rsid w:val="0046377C"/>
    <w:rsid w:val="00464A13"/>
    <w:rsid w:val="004657DC"/>
    <w:rsid w:val="004668FF"/>
    <w:rsid w:val="00466FD6"/>
    <w:rsid w:val="00472293"/>
    <w:rsid w:val="00472755"/>
    <w:rsid w:val="00473325"/>
    <w:rsid w:val="0047345B"/>
    <w:rsid w:val="00473593"/>
    <w:rsid w:val="00473A35"/>
    <w:rsid w:val="00473E17"/>
    <w:rsid w:val="00482FA6"/>
    <w:rsid w:val="00483D52"/>
    <w:rsid w:val="00485D02"/>
    <w:rsid w:val="00485D9D"/>
    <w:rsid w:val="004870F3"/>
    <w:rsid w:val="00490341"/>
    <w:rsid w:val="00490A9A"/>
    <w:rsid w:val="00492C92"/>
    <w:rsid w:val="004933EC"/>
    <w:rsid w:val="004951D9"/>
    <w:rsid w:val="004A25AE"/>
    <w:rsid w:val="004A2E3B"/>
    <w:rsid w:val="004A4C04"/>
    <w:rsid w:val="004A4D21"/>
    <w:rsid w:val="004B28D9"/>
    <w:rsid w:val="004B4A42"/>
    <w:rsid w:val="004C4866"/>
    <w:rsid w:val="004C6756"/>
    <w:rsid w:val="004C7815"/>
    <w:rsid w:val="004D20DD"/>
    <w:rsid w:val="004D5E0E"/>
    <w:rsid w:val="004E09D2"/>
    <w:rsid w:val="004E170B"/>
    <w:rsid w:val="004E4207"/>
    <w:rsid w:val="004E5152"/>
    <w:rsid w:val="004E563C"/>
    <w:rsid w:val="004E61CA"/>
    <w:rsid w:val="004E689B"/>
    <w:rsid w:val="004F2C60"/>
    <w:rsid w:val="004F3113"/>
    <w:rsid w:val="004F7E1E"/>
    <w:rsid w:val="005024E1"/>
    <w:rsid w:val="00504CB9"/>
    <w:rsid w:val="00505B68"/>
    <w:rsid w:val="00506057"/>
    <w:rsid w:val="00506713"/>
    <w:rsid w:val="0051179B"/>
    <w:rsid w:val="00511964"/>
    <w:rsid w:val="0051777B"/>
    <w:rsid w:val="00517C97"/>
    <w:rsid w:val="00525DA6"/>
    <w:rsid w:val="005359A9"/>
    <w:rsid w:val="00535DF6"/>
    <w:rsid w:val="005374BB"/>
    <w:rsid w:val="0054012D"/>
    <w:rsid w:val="00543781"/>
    <w:rsid w:val="00544876"/>
    <w:rsid w:val="00544AFB"/>
    <w:rsid w:val="005528A6"/>
    <w:rsid w:val="00553728"/>
    <w:rsid w:val="00553BD2"/>
    <w:rsid w:val="0055410D"/>
    <w:rsid w:val="00555E35"/>
    <w:rsid w:val="005561C3"/>
    <w:rsid w:val="005617AE"/>
    <w:rsid w:val="005714D1"/>
    <w:rsid w:val="00573905"/>
    <w:rsid w:val="00574BA8"/>
    <w:rsid w:val="0057620A"/>
    <w:rsid w:val="00580835"/>
    <w:rsid w:val="00584056"/>
    <w:rsid w:val="00587716"/>
    <w:rsid w:val="00590603"/>
    <w:rsid w:val="00591694"/>
    <w:rsid w:val="0059197A"/>
    <w:rsid w:val="00593015"/>
    <w:rsid w:val="00594820"/>
    <w:rsid w:val="00595FDD"/>
    <w:rsid w:val="0059639F"/>
    <w:rsid w:val="00596A01"/>
    <w:rsid w:val="00596F31"/>
    <w:rsid w:val="005A2815"/>
    <w:rsid w:val="005A31F1"/>
    <w:rsid w:val="005A5227"/>
    <w:rsid w:val="005A5ED6"/>
    <w:rsid w:val="005A652A"/>
    <w:rsid w:val="005A7D3B"/>
    <w:rsid w:val="005B367F"/>
    <w:rsid w:val="005B3F93"/>
    <w:rsid w:val="005B4272"/>
    <w:rsid w:val="005B6597"/>
    <w:rsid w:val="005C1D51"/>
    <w:rsid w:val="005C5115"/>
    <w:rsid w:val="005C658F"/>
    <w:rsid w:val="005D0E47"/>
    <w:rsid w:val="005D2743"/>
    <w:rsid w:val="005D2D7D"/>
    <w:rsid w:val="005D4EA5"/>
    <w:rsid w:val="005E2C48"/>
    <w:rsid w:val="005E4E22"/>
    <w:rsid w:val="005E7732"/>
    <w:rsid w:val="005E77DC"/>
    <w:rsid w:val="005F09CB"/>
    <w:rsid w:val="005F1497"/>
    <w:rsid w:val="005F18A9"/>
    <w:rsid w:val="005F1989"/>
    <w:rsid w:val="005F3965"/>
    <w:rsid w:val="005F4F7A"/>
    <w:rsid w:val="005F6FF5"/>
    <w:rsid w:val="006000BB"/>
    <w:rsid w:val="006017D7"/>
    <w:rsid w:val="0060359F"/>
    <w:rsid w:val="006102D3"/>
    <w:rsid w:val="006105A0"/>
    <w:rsid w:val="00611C43"/>
    <w:rsid w:val="00612B69"/>
    <w:rsid w:val="00612E0D"/>
    <w:rsid w:val="00613AEA"/>
    <w:rsid w:val="00615565"/>
    <w:rsid w:val="006159E0"/>
    <w:rsid w:val="0061677C"/>
    <w:rsid w:val="00617798"/>
    <w:rsid w:val="00621AF5"/>
    <w:rsid w:val="00631699"/>
    <w:rsid w:val="006325B0"/>
    <w:rsid w:val="00633065"/>
    <w:rsid w:val="006406A2"/>
    <w:rsid w:val="0064292A"/>
    <w:rsid w:val="00643B13"/>
    <w:rsid w:val="00645055"/>
    <w:rsid w:val="006470FE"/>
    <w:rsid w:val="00650A71"/>
    <w:rsid w:val="006520BE"/>
    <w:rsid w:val="006531D2"/>
    <w:rsid w:val="00655281"/>
    <w:rsid w:val="00656950"/>
    <w:rsid w:val="006570BC"/>
    <w:rsid w:val="00662506"/>
    <w:rsid w:val="0066299F"/>
    <w:rsid w:val="00662F0A"/>
    <w:rsid w:val="006639AD"/>
    <w:rsid w:val="006651F5"/>
    <w:rsid w:val="00666D56"/>
    <w:rsid w:val="0066794B"/>
    <w:rsid w:val="00672B9B"/>
    <w:rsid w:val="00677460"/>
    <w:rsid w:val="00677D7F"/>
    <w:rsid w:val="0068771C"/>
    <w:rsid w:val="00687C42"/>
    <w:rsid w:val="00687DD6"/>
    <w:rsid w:val="00690987"/>
    <w:rsid w:val="00690C52"/>
    <w:rsid w:val="00691C16"/>
    <w:rsid w:val="00692AD3"/>
    <w:rsid w:val="006964B5"/>
    <w:rsid w:val="00696C5C"/>
    <w:rsid w:val="00697D3C"/>
    <w:rsid w:val="006A0E79"/>
    <w:rsid w:val="006A105D"/>
    <w:rsid w:val="006A38B7"/>
    <w:rsid w:val="006A7468"/>
    <w:rsid w:val="006B5BB7"/>
    <w:rsid w:val="006C1E81"/>
    <w:rsid w:val="006C2E8A"/>
    <w:rsid w:val="006C376D"/>
    <w:rsid w:val="006D13DF"/>
    <w:rsid w:val="006D3B00"/>
    <w:rsid w:val="006D6409"/>
    <w:rsid w:val="006D7B85"/>
    <w:rsid w:val="006D7DB2"/>
    <w:rsid w:val="006E3070"/>
    <w:rsid w:val="006E6D50"/>
    <w:rsid w:val="006E72CB"/>
    <w:rsid w:val="006F210E"/>
    <w:rsid w:val="006F3A4D"/>
    <w:rsid w:val="006F3BE8"/>
    <w:rsid w:val="006F4648"/>
    <w:rsid w:val="006F5D27"/>
    <w:rsid w:val="00700183"/>
    <w:rsid w:val="007016BD"/>
    <w:rsid w:val="00701F55"/>
    <w:rsid w:val="007028F4"/>
    <w:rsid w:val="007035E0"/>
    <w:rsid w:val="0070406F"/>
    <w:rsid w:val="007048A9"/>
    <w:rsid w:val="00705C16"/>
    <w:rsid w:val="00706892"/>
    <w:rsid w:val="00706EA0"/>
    <w:rsid w:val="0071409A"/>
    <w:rsid w:val="007154AA"/>
    <w:rsid w:val="007155AE"/>
    <w:rsid w:val="00721405"/>
    <w:rsid w:val="00721484"/>
    <w:rsid w:val="007271CB"/>
    <w:rsid w:val="007278A0"/>
    <w:rsid w:val="00727FD7"/>
    <w:rsid w:val="00730DAD"/>
    <w:rsid w:val="00730EA7"/>
    <w:rsid w:val="00734222"/>
    <w:rsid w:val="00735FE0"/>
    <w:rsid w:val="00736E45"/>
    <w:rsid w:val="00740632"/>
    <w:rsid w:val="00742954"/>
    <w:rsid w:val="00742E0E"/>
    <w:rsid w:val="00743CE0"/>
    <w:rsid w:val="007453CE"/>
    <w:rsid w:val="00745A19"/>
    <w:rsid w:val="00745F27"/>
    <w:rsid w:val="007467E4"/>
    <w:rsid w:val="00746C73"/>
    <w:rsid w:val="00751969"/>
    <w:rsid w:val="0075215A"/>
    <w:rsid w:val="0075298E"/>
    <w:rsid w:val="00752A91"/>
    <w:rsid w:val="0075420D"/>
    <w:rsid w:val="007543E4"/>
    <w:rsid w:val="00761D49"/>
    <w:rsid w:val="007636DB"/>
    <w:rsid w:val="00764050"/>
    <w:rsid w:val="00765020"/>
    <w:rsid w:val="00766674"/>
    <w:rsid w:val="00770E04"/>
    <w:rsid w:val="007717F6"/>
    <w:rsid w:val="00771BFE"/>
    <w:rsid w:val="007726C7"/>
    <w:rsid w:val="007742FF"/>
    <w:rsid w:val="007805C5"/>
    <w:rsid w:val="0078209D"/>
    <w:rsid w:val="0078403E"/>
    <w:rsid w:val="00785B05"/>
    <w:rsid w:val="00792010"/>
    <w:rsid w:val="007972AD"/>
    <w:rsid w:val="007A1D0F"/>
    <w:rsid w:val="007A38A3"/>
    <w:rsid w:val="007A5F84"/>
    <w:rsid w:val="007A7DDA"/>
    <w:rsid w:val="007B1473"/>
    <w:rsid w:val="007B2CD4"/>
    <w:rsid w:val="007B4CB2"/>
    <w:rsid w:val="007B5AE9"/>
    <w:rsid w:val="007B7FB8"/>
    <w:rsid w:val="007C074A"/>
    <w:rsid w:val="007C1025"/>
    <w:rsid w:val="007C26C6"/>
    <w:rsid w:val="007C6863"/>
    <w:rsid w:val="007C72E7"/>
    <w:rsid w:val="007C7DCC"/>
    <w:rsid w:val="007D21B3"/>
    <w:rsid w:val="007D2BF7"/>
    <w:rsid w:val="007D4FDA"/>
    <w:rsid w:val="007D59AE"/>
    <w:rsid w:val="007D5FE5"/>
    <w:rsid w:val="007D6179"/>
    <w:rsid w:val="007E4601"/>
    <w:rsid w:val="007E4C7D"/>
    <w:rsid w:val="007E4FD6"/>
    <w:rsid w:val="007E5604"/>
    <w:rsid w:val="007F0319"/>
    <w:rsid w:val="007F05DA"/>
    <w:rsid w:val="007F19FD"/>
    <w:rsid w:val="007F1C44"/>
    <w:rsid w:val="007F2C30"/>
    <w:rsid w:val="007F7062"/>
    <w:rsid w:val="0080064A"/>
    <w:rsid w:val="00805FB2"/>
    <w:rsid w:val="0080619A"/>
    <w:rsid w:val="00813959"/>
    <w:rsid w:val="008146C8"/>
    <w:rsid w:val="008221AC"/>
    <w:rsid w:val="008229FD"/>
    <w:rsid w:val="00823ABB"/>
    <w:rsid w:val="00827003"/>
    <w:rsid w:val="00827E46"/>
    <w:rsid w:val="00830663"/>
    <w:rsid w:val="008458AB"/>
    <w:rsid w:val="00851BE9"/>
    <w:rsid w:val="00852521"/>
    <w:rsid w:val="00853470"/>
    <w:rsid w:val="0085431C"/>
    <w:rsid w:val="00854779"/>
    <w:rsid w:val="00854EC6"/>
    <w:rsid w:val="00855A5A"/>
    <w:rsid w:val="00857DE3"/>
    <w:rsid w:val="008640B2"/>
    <w:rsid w:val="00873122"/>
    <w:rsid w:val="008740C1"/>
    <w:rsid w:val="008801FB"/>
    <w:rsid w:val="0088061E"/>
    <w:rsid w:val="008814ED"/>
    <w:rsid w:val="0088208F"/>
    <w:rsid w:val="00882394"/>
    <w:rsid w:val="008846AC"/>
    <w:rsid w:val="00885CD1"/>
    <w:rsid w:val="008915EB"/>
    <w:rsid w:val="008918F3"/>
    <w:rsid w:val="00893B11"/>
    <w:rsid w:val="008947F4"/>
    <w:rsid w:val="008A0CD3"/>
    <w:rsid w:val="008A370A"/>
    <w:rsid w:val="008A696F"/>
    <w:rsid w:val="008B0CAF"/>
    <w:rsid w:val="008B5086"/>
    <w:rsid w:val="008C63F8"/>
    <w:rsid w:val="008C75CB"/>
    <w:rsid w:val="008D0224"/>
    <w:rsid w:val="008D15FD"/>
    <w:rsid w:val="008D3B53"/>
    <w:rsid w:val="008D4C7D"/>
    <w:rsid w:val="008D4CAE"/>
    <w:rsid w:val="008D6507"/>
    <w:rsid w:val="008E055C"/>
    <w:rsid w:val="008E4957"/>
    <w:rsid w:val="008E5F5E"/>
    <w:rsid w:val="008E684E"/>
    <w:rsid w:val="008F1B72"/>
    <w:rsid w:val="008F3198"/>
    <w:rsid w:val="008F36DB"/>
    <w:rsid w:val="008F580A"/>
    <w:rsid w:val="008F784B"/>
    <w:rsid w:val="008F7FE7"/>
    <w:rsid w:val="00900EE8"/>
    <w:rsid w:val="009016BC"/>
    <w:rsid w:val="009023F7"/>
    <w:rsid w:val="00903852"/>
    <w:rsid w:val="0090471C"/>
    <w:rsid w:val="00906C49"/>
    <w:rsid w:val="009074BC"/>
    <w:rsid w:val="00907715"/>
    <w:rsid w:val="00907736"/>
    <w:rsid w:val="00911CA1"/>
    <w:rsid w:val="00913523"/>
    <w:rsid w:val="009136E9"/>
    <w:rsid w:val="00917C13"/>
    <w:rsid w:val="009255B3"/>
    <w:rsid w:val="00925917"/>
    <w:rsid w:val="00930B8D"/>
    <w:rsid w:val="00932E23"/>
    <w:rsid w:val="00933F91"/>
    <w:rsid w:val="00934190"/>
    <w:rsid w:val="00935B3A"/>
    <w:rsid w:val="00936A79"/>
    <w:rsid w:val="0094004D"/>
    <w:rsid w:val="00940316"/>
    <w:rsid w:val="009410CB"/>
    <w:rsid w:val="009413FD"/>
    <w:rsid w:val="00944AEA"/>
    <w:rsid w:val="00944CF8"/>
    <w:rsid w:val="00950748"/>
    <w:rsid w:val="00952904"/>
    <w:rsid w:val="00953708"/>
    <w:rsid w:val="00953B7B"/>
    <w:rsid w:val="00960F8F"/>
    <w:rsid w:val="00965618"/>
    <w:rsid w:val="009666D9"/>
    <w:rsid w:val="0097053A"/>
    <w:rsid w:val="00971254"/>
    <w:rsid w:val="00971FE9"/>
    <w:rsid w:val="00972FC0"/>
    <w:rsid w:val="009741CA"/>
    <w:rsid w:val="00975123"/>
    <w:rsid w:val="009756E8"/>
    <w:rsid w:val="00975A43"/>
    <w:rsid w:val="00980D8A"/>
    <w:rsid w:val="00982B2F"/>
    <w:rsid w:val="00985130"/>
    <w:rsid w:val="00985F90"/>
    <w:rsid w:val="00986A33"/>
    <w:rsid w:val="00990A34"/>
    <w:rsid w:val="00991476"/>
    <w:rsid w:val="009922EB"/>
    <w:rsid w:val="00992883"/>
    <w:rsid w:val="00995B5A"/>
    <w:rsid w:val="00996951"/>
    <w:rsid w:val="00996CE2"/>
    <w:rsid w:val="009A2058"/>
    <w:rsid w:val="009A498F"/>
    <w:rsid w:val="009A6563"/>
    <w:rsid w:val="009A6AA5"/>
    <w:rsid w:val="009A7E13"/>
    <w:rsid w:val="009B0C68"/>
    <w:rsid w:val="009B0D86"/>
    <w:rsid w:val="009B2BE7"/>
    <w:rsid w:val="009B303C"/>
    <w:rsid w:val="009B3451"/>
    <w:rsid w:val="009B4782"/>
    <w:rsid w:val="009B61E3"/>
    <w:rsid w:val="009C1544"/>
    <w:rsid w:val="009C4586"/>
    <w:rsid w:val="009C4D66"/>
    <w:rsid w:val="009C690A"/>
    <w:rsid w:val="009D0BBF"/>
    <w:rsid w:val="009D2FE6"/>
    <w:rsid w:val="009E0767"/>
    <w:rsid w:val="009E324E"/>
    <w:rsid w:val="009E3A90"/>
    <w:rsid w:val="009E3ACE"/>
    <w:rsid w:val="009E4865"/>
    <w:rsid w:val="009E53B8"/>
    <w:rsid w:val="009E5D35"/>
    <w:rsid w:val="009E68FE"/>
    <w:rsid w:val="009F39D5"/>
    <w:rsid w:val="009F3C45"/>
    <w:rsid w:val="009F4682"/>
    <w:rsid w:val="009F4CE6"/>
    <w:rsid w:val="009F4D35"/>
    <w:rsid w:val="009F6C74"/>
    <w:rsid w:val="009F7F45"/>
    <w:rsid w:val="00A01C42"/>
    <w:rsid w:val="00A04F86"/>
    <w:rsid w:val="00A1058B"/>
    <w:rsid w:val="00A11CD3"/>
    <w:rsid w:val="00A1461F"/>
    <w:rsid w:val="00A15BE5"/>
    <w:rsid w:val="00A15E96"/>
    <w:rsid w:val="00A16283"/>
    <w:rsid w:val="00A1685B"/>
    <w:rsid w:val="00A20D13"/>
    <w:rsid w:val="00A215BA"/>
    <w:rsid w:val="00A25538"/>
    <w:rsid w:val="00A265AF"/>
    <w:rsid w:val="00A26D1E"/>
    <w:rsid w:val="00A307DF"/>
    <w:rsid w:val="00A30819"/>
    <w:rsid w:val="00A33AD8"/>
    <w:rsid w:val="00A33EAF"/>
    <w:rsid w:val="00A357F1"/>
    <w:rsid w:val="00A363EE"/>
    <w:rsid w:val="00A36FC0"/>
    <w:rsid w:val="00A37740"/>
    <w:rsid w:val="00A42644"/>
    <w:rsid w:val="00A53016"/>
    <w:rsid w:val="00A54A6B"/>
    <w:rsid w:val="00A55886"/>
    <w:rsid w:val="00A57AC6"/>
    <w:rsid w:val="00A603FA"/>
    <w:rsid w:val="00A609E8"/>
    <w:rsid w:val="00A62FB9"/>
    <w:rsid w:val="00A702F0"/>
    <w:rsid w:val="00A70979"/>
    <w:rsid w:val="00A714E3"/>
    <w:rsid w:val="00A725CA"/>
    <w:rsid w:val="00A747AD"/>
    <w:rsid w:val="00A75CE5"/>
    <w:rsid w:val="00A76E69"/>
    <w:rsid w:val="00A82093"/>
    <w:rsid w:val="00A82BFB"/>
    <w:rsid w:val="00A851D8"/>
    <w:rsid w:val="00A87CD7"/>
    <w:rsid w:val="00A94562"/>
    <w:rsid w:val="00A94CB3"/>
    <w:rsid w:val="00A967D0"/>
    <w:rsid w:val="00A96F2C"/>
    <w:rsid w:val="00AA07C9"/>
    <w:rsid w:val="00AA0D04"/>
    <w:rsid w:val="00AA1D87"/>
    <w:rsid w:val="00AA1EF3"/>
    <w:rsid w:val="00AA212D"/>
    <w:rsid w:val="00AA36A9"/>
    <w:rsid w:val="00AA42CB"/>
    <w:rsid w:val="00AA4397"/>
    <w:rsid w:val="00AA4BF1"/>
    <w:rsid w:val="00AA5FE0"/>
    <w:rsid w:val="00AB4466"/>
    <w:rsid w:val="00AB5F54"/>
    <w:rsid w:val="00AC4F67"/>
    <w:rsid w:val="00AC5523"/>
    <w:rsid w:val="00AC5BD9"/>
    <w:rsid w:val="00AC634B"/>
    <w:rsid w:val="00AC67DA"/>
    <w:rsid w:val="00AD1A5A"/>
    <w:rsid w:val="00AD1E9F"/>
    <w:rsid w:val="00AD200F"/>
    <w:rsid w:val="00AD27C1"/>
    <w:rsid w:val="00AD5115"/>
    <w:rsid w:val="00AD5910"/>
    <w:rsid w:val="00AE1CB0"/>
    <w:rsid w:val="00AE237A"/>
    <w:rsid w:val="00AE3D16"/>
    <w:rsid w:val="00AE3F14"/>
    <w:rsid w:val="00AE4383"/>
    <w:rsid w:val="00AE48E5"/>
    <w:rsid w:val="00AE4F84"/>
    <w:rsid w:val="00AE597A"/>
    <w:rsid w:val="00AF3657"/>
    <w:rsid w:val="00AF3839"/>
    <w:rsid w:val="00AF5481"/>
    <w:rsid w:val="00AF5C5A"/>
    <w:rsid w:val="00B01365"/>
    <w:rsid w:val="00B03532"/>
    <w:rsid w:val="00B1063A"/>
    <w:rsid w:val="00B12542"/>
    <w:rsid w:val="00B12E0F"/>
    <w:rsid w:val="00B1610E"/>
    <w:rsid w:val="00B176BC"/>
    <w:rsid w:val="00B26DE3"/>
    <w:rsid w:val="00B31062"/>
    <w:rsid w:val="00B33549"/>
    <w:rsid w:val="00B339A6"/>
    <w:rsid w:val="00B34890"/>
    <w:rsid w:val="00B34F97"/>
    <w:rsid w:val="00B363AE"/>
    <w:rsid w:val="00B36608"/>
    <w:rsid w:val="00B423BC"/>
    <w:rsid w:val="00B435B5"/>
    <w:rsid w:val="00B43A8C"/>
    <w:rsid w:val="00B47B17"/>
    <w:rsid w:val="00B47EC1"/>
    <w:rsid w:val="00B510F6"/>
    <w:rsid w:val="00B5290A"/>
    <w:rsid w:val="00B52D0F"/>
    <w:rsid w:val="00B53D3B"/>
    <w:rsid w:val="00B564B1"/>
    <w:rsid w:val="00B564B6"/>
    <w:rsid w:val="00B60332"/>
    <w:rsid w:val="00B604EA"/>
    <w:rsid w:val="00B60618"/>
    <w:rsid w:val="00B651B9"/>
    <w:rsid w:val="00B67734"/>
    <w:rsid w:val="00B71A98"/>
    <w:rsid w:val="00B7564D"/>
    <w:rsid w:val="00B801E5"/>
    <w:rsid w:val="00B823B2"/>
    <w:rsid w:val="00B82BFE"/>
    <w:rsid w:val="00B83643"/>
    <w:rsid w:val="00B867A0"/>
    <w:rsid w:val="00B95568"/>
    <w:rsid w:val="00B955C6"/>
    <w:rsid w:val="00B9591E"/>
    <w:rsid w:val="00B96BAF"/>
    <w:rsid w:val="00B971AD"/>
    <w:rsid w:val="00BA0223"/>
    <w:rsid w:val="00BA0344"/>
    <w:rsid w:val="00BA139E"/>
    <w:rsid w:val="00BA175C"/>
    <w:rsid w:val="00BA3CC1"/>
    <w:rsid w:val="00BA684F"/>
    <w:rsid w:val="00BA790F"/>
    <w:rsid w:val="00BB0FE8"/>
    <w:rsid w:val="00BB1C1E"/>
    <w:rsid w:val="00BB2BAC"/>
    <w:rsid w:val="00BB339D"/>
    <w:rsid w:val="00BB51DE"/>
    <w:rsid w:val="00BB60E6"/>
    <w:rsid w:val="00BB72B1"/>
    <w:rsid w:val="00BC010F"/>
    <w:rsid w:val="00BC4E5F"/>
    <w:rsid w:val="00BC587A"/>
    <w:rsid w:val="00BD1CEC"/>
    <w:rsid w:val="00BD2203"/>
    <w:rsid w:val="00BD3D2F"/>
    <w:rsid w:val="00BD3D7A"/>
    <w:rsid w:val="00BD6452"/>
    <w:rsid w:val="00BD7A05"/>
    <w:rsid w:val="00BD7D40"/>
    <w:rsid w:val="00BE0033"/>
    <w:rsid w:val="00BE4536"/>
    <w:rsid w:val="00BE5182"/>
    <w:rsid w:val="00BE64B8"/>
    <w:rsid w:val="00BE6646"/>
    <w:rsid w:val="00BE67F2"/>
    <w:rsid w:val="00BE6EFC"/>
    <w:rsid w:val="00BF2F1F"/>
    <w:rsid w:val="00BF63C1"/>
    <w:rsid w:val="00BF68C9"/>
    <w:rsid w:val="00C033B2"/>
    <w:rsid w:val="00C03DDC"/>
    <w:rsid w:val="00C065C6"/>
    <w:rsid w:val="00C10544"/>
    <w:rsid w:val="00C1462B"/>
    <w:rsid w:val="00C20E92"/>
    <w:rsid w:val="00C22363"/>
    <w:rsid w:val="00C22CC3"/>
    <w:rsid w:val="00C22F7D"/>
    <w:rsid w:val="00C23390"/>
    <w:rsid w:val="00C23AFC"/>
    <w:rsid w:val="00C23DA4"/>
    <w:rsid w:val="00C25FEB"/>
    <w:rsid w:val="00C272AC"/>
    <w:rsid w:val="00C34BFD"/>
    <w:rsid w:val="00C372B3"/>
    <w:rsid w:val="00C417D0"/>
    <w:rsid w:val="00C42950"/>
    <w:rsid w:val="00C442AE"/>
    <w:rsid w:val="00C4688F"/>
    <w:rsid w:val="00C472A2"/>
    <w:rsid w:val="00C54093"/>
    <w:rsid w:val="00C541E5"/>
    <w:rsid w:val="00C55671"/>
    <w:rsid w:val="00C5569E"/>
    <w:rsid w:val="00C603C3"/>
    <w:rsid w:val="00C61F66"/>
    <w:rsid w:val="00C64532"/>
    <w:rsid w:val="00C65FF5"/>
    <w:rsid w:val="00C710CF"/>
    <w:rsid w:val="00C7196E"/>
    <w:rsid w:val="00C76D48"/>
    <w:rsid w:val="00C800D7"/>
    <w:rsid w:val="00C81E3C"/>
    <w:rsid w:val="00C82E5D"/>
    <w:rsid w:val="00C87FC2"/>
    <w:rsid w:val="00C91996"/>
    <w:rsid w:val="00C97788"/>
    <w:rsid w:val="00CA14AE"/>
    <w:rsid w:val="00CA3F65"/>
    <w:rsid w:val="00CB13E6"/>
    <w:rsid w:val="00CB1B18"/>
    <w:rsid w:val="00CB2E66"/>
    <w:rsid w:val="00CB3671"/>
    <w:rsid w:val="00CB428B"/>
    <w:rsid w:val="00CB47F7"/>
    <w:rsid w:val="00CB6492"/>
    <w:rsid w:val="00CC1621"/>
    <w:rsid w:val="00CC22BE"/>
    <w:rsid w:val="00CC2E19"/>
    <w:rsid w:val="00CC3603"/>
    <w:rsid w:val="00CC45F3"/>
    <w:rsid w:val="00CC787F"/>
    <w:rsid w:val="00CD3577"/>
    <w:rsid w:val="00CD7193"/>
    <w:rsid w:val="00CE16ED"/>
    <w:rsid w:val="00CE66B6"/>
    <w:rsid w:val="00CE6EF2"/>
    <w:rsid w:val="00CE7DA3"/>
    <w:rsid w:val="00CF0F9C"/>
    <w:rsid w:val="00CF3690"/>
    <w:rsid w:val="00CF7A3E"/>
    <w:rsid w:val="00D01DC2"/>
    <w:rsid w:val="00D03766"/>
    <w:rsid w:val="00D1133B"/>
    <w:rsid w:val="00D11758"/>
    <w:rsid w:val="00D12BA5"/>
    <w:rsid w:val="00D207FC"/>
    <w:rsid w:val="00D2238A"/>
    <w:rsid w:val="00D23305"/>
    <w:rsid w:val="00D32DFB"/>
    <w:rsid w:val="00D33BD9"/>
    <w:rsid w:val="00D35DEF"/>
    <w:rsid w:val="00D41D18"/>
    <w:rsid w:val="00D43B18"/>
    <w:rsid w:val="00D44CF6"/>
    <w:rsid w:val="00D474B2"/>
    <w:rsid w:val="00D47A50"/>
    <w:rsid w:val="00D52947"/>
    <w:rsid w:val="00D52A4A"/>
    <w:rsid w:val="00D606E3"/>
    <w:rsid w:val="00D61912"/>
    <w:rsid w:val="00D61BC0"/>
    <w:rsid w:val="00D64668"/>
    <w:rsid w:val="00D66AF2"/>
    <w:rsid w:val="00D67195"/>
    <w:rsid w:val="00D7168F"/>
    <w:rsid w:val="00D7340F"/>
    <w:rsid w:val="00D73BF7"/>
    <w:rsid w:val="00D750C9"/>
    <w:rsid w:val="00D75387"/>
    <w:rsid w:val="00D80559"/>
    <w:rsid w:val="00D812BD"/>
    <w:rsid w:val="00D824E7"/>
    <w:rsid w:val="00D83486"/>
    <w:rsid w:val="00D83BB9"/>
    <w:rsid w:val="00D85041"/>
    <w:rsid w:val="00D8505F"/>
    <w:rsid w:val="00D85563"/>
    <w:rsid w:val="00D863E0"/>
    <w:rsid w:val="00D866E0"/>
    <w:rsid w:val="00D867B1"/>
    <w:rsid w:val="00D86CB2"/>
    <w:rsid w:val="00D87F45"/>
    <w:rsid w:val="00D90C41"/>
    <w:rsid w:val="00D93340"/>
    <w:rsid w:val="00D97239"/>
    <w:rsid w:val="00DA02B0"/>
    <w:rsid w:val="00DA03AE"/>
    <w:rsid w:val="00DA1207"/>
    <w:rsid w:val="00DA162E"/>
    <w:rsid w:val="00DA1C7C"/>
    <w:rsid w:val="00DA2E1A"/>
    <w:rsid w:val="00DA3C92"/>
    <w:rsid w:val="00DA3D1A"/>
    <w:rsid w:val="00DA4115"/>
    <w:rsid w:val="00DA65B9"/>
    <w:rsid w:val="00DA7444"/>
    <w:rsid w:val="00DB052A"/>
    <w:rsid w:val="00DB09C5"/>
    <w:rsid w:val="00DB2527"/>
    <w:rsid w:val="00DB40E2"/>
    <w:rsid w:val="00DB610C"/>
    <w:rsid w:val="00DC46F6"/>
    <w:rsid w:val="00DC60C5"/>
    <w:rsid w:val="00DD024A"/>
    <w:rsid w:val="00DD14FB"/>
    <w:rsid w:val="00DD214C"/>
    <w:rsid w:val="00DD25B8"/>
    <w:rsid w:val="00DD3EDE"/>
    <w:rsid w:val="00DE11CB"/>
    <w:rsid w:val="00DE1760"/>
    <w:rsid w:val="00DE2E28"/>
    <w:rsid w:val="00DE4E2A"/>
    <w:rsid w:val="00DE5470"/>
    <w:rsid w:val="00DE5974"/>
    <w:rsid w:val="00DE6F49"/>
    <w:rsid w:val="00DE782A"/>
    <w:rsid w:val="00DF0679"/>
    <w:rsid w:val="00DF2054"/>
    <w:rsid w:val="00DF60AA"/>
    <w:rsid w:val="00DF7B74"/>
    <w:rsid w:val="00E012E2"/>
    <w:rsid w:val="00E01327"/>
    <w:rsid w:val="00E07D69"/>
    <w:rsid w:val="00E10C21"/>
    <w:rsid w:val="00E10D73"/>
    <w:rsid w:val="00E16411"/>
    <w:rsid w:val="00E17881"/>
    <w:rsid w:val="00E22A91"/>
    <w:rsid w:val="00E22B2A"/>
    <w:rsid w:val="00E22DA1"/>
    <w:rsid w:val="00E250E3"/>
    <w:rsid w:val="00E27C0D"/>
    <w:rsid w:val="00E31E4C"/>
    <w:rsid w:val="00E35051"/>
    <w:rsid w:val="00E35B5D"/>
    <w:rsid w:val="00E363C9"/>
    <w:rsid w:val="00E37960"/>
    <w:rsid w:val="00E41013"/>
    <w:rsid w:val="00E46E39"/>
    <w:rsid w:val="00E5280E"/>
    <w:rsid w:val="00E5448E"/>
    <w:rsid w:val="00E57EBE"/>
    <w:rsid w:val="00E60E28"/>
    <w:rsid w:val="00E63D0B"/>
    <w:rsid w:val="00E641B8"/>
    <w:rsid w:val="00E7256A"/>
    <w:rsid w:val="00E7275C"/>
    <w:rsid w:val="00E752FC"/>
    <w:rsid w:val="00E77066"/>
    <w:rsid w:val="00E770E2"/>
    <w:rsid w:val="00E81F02"/>
    <w:rsid w:val="00E87ACF"/>
    <w:rsid w:val="00EA167B"/>
    <w:rsid w:val="00EA1E82"/>
    <w:rsid w:val="00EA2A67"/>
    <w:rsid w:val="00EA3D0E"/>
    <w:rsid w:val="00EA42E6"/>
    <w:rsid w:val="00EA5813"/>
    <w:rsid w:val="00EA5AE1"/>
    <w:rsid w:val="00EB3146"/>
    <w:rsid w:val="00EB39B7"/>
    <w:rsid w:val="00EB3D39"/>
    <w:rsid w:val="00EB55D9"/>
    <w:rsid w:val="00EC0921"/>
    <w:rsid w:val="00EC1702"/>
    <w:rsid w:val="00EC3B16"/>
    <w:rsid w:val="00EC4657"/>
    <w:rsid w:val="00EC5E5D"/>
    <w:rsid w:val="00ED3908"/>
    <w:rsid w:val="00ED4425"/>
    <w:rsid w:val="00ED705B"/>
    <w:rsid w:val="00EE305C"/>
    <w:rsid w:val="00EE349A"/>
    <w:rsid w:val="00EE49E1"/>
    <w:rsid w:val="00EE6EF1"/>
    <w:rsid w:val="00EF0E4E"/>
    <w:rsid w:val="00EF1A01"/>
    <w:rsid w:val="00EF2648"/>
    <w:rsid w:val="00EF39CA"/>
    <w:rsid w:val="00F00A5C"/>
    <w:rsid w:val="00F013C0"/>
    <w:rsid w:val="00F01804"/>
    <w:rsid w:val="00F05B93"/>
    <w:rsid w:val="00F06133"/>
    <w:rsid w:val="00F10335"/>
    <w:rsid w:val="00F10B0E"/>
    <w:rsid w:val="00F121A6"/>
    <w:rsid w:val="00F16117"/>
    <w:rsid w:val="00F252FC"/>
    <w:rsid w:val="00F26DAF"/>
    <w:rsid w:val="00F2767B"/>
    <w:rsid w:val="00F27DD3"/>
    <w:rsid w:val="00F30D22"/>
    <w:rsid w:val="00F3191C"/>
    <w:rsid w:val="00F34435"/>
    <w:rsid w:val="00F37917"/>
    <w:rsid w:val="00F41958"/>
    <w:rsid w:val="00F4683B"/>
    <w:rsid w:val="00F46C47"/>
    <w:rsid w:val="00F475F1"/>
    <w:rsid w:val="00F537DC"/>
    <w:rsid w:val="00F552DE"/>
    <w:rsid w:val="00F6037A"/>
    <w:rsid w:val="00F603DB"/>
    <w:rsid w:val="00F6501E"/>
    <w:rsid w:val="00F70835"/>
    <w:rsid w:val="00F70B3E"/>
    <w:rsid w:val="00F7178A"/>
    <w:rsid w:val="00F7288B"/>
    <w:rsid w:val="00F732DD"/>
    <w:rsid w:val="00F76339"/>
    <w:rsid w:val="00F76BEF"/>
    <w:rsid w:val="00F77702"/>
    <w:rsid w:val="00F8061A"/>
    <w:rsid w:val="00F80956"/>
    <w:rsid w:val="00F81C3E"/>
    <w:rsid w:val="00F85DB7"/>
    <w:rsid w:val="00F86268"/>
    <w:rsid w:val="00F87258"/>
    <w:rsid w:val="00F9178E"/>
    <w:rsid w:val="00F917BB"/>
    <w:rsid w:val="00F926B5"/>
    <w:rsid w:val="00F94F2F"/>
    <w:rsid w:val="00FA34E5"/>
    <w:rsid w:val="00FB0B51"/>
    <w:rsid w:val="00FB21E9"/>
    <w:rsid w:val="00FB5783"/>
    <w:rsid w:val="00FB64E9"/>
    <w:rsid w:val="00FC01F7"/>
    <w:rsid w:val="00FC04B0"/>
    <w:rsid w:val="00FC174D"/>
    <w:rsid w:val="00FC2FC0"/>
    <w:rsid w:val="00FC3513"/>
    <w:rsid w:val="00FC3D4A"/>
    <w:rsid w:val="00FC40D6"/>
    <w:rsid w:val="00FD2228"/>
    <w:rsid w:val="00FD38EE"/>
    <w:rsid w:val="00FD6430"/>
    <w:rsid w:val="00FD7617"/>
    <w:rsid w:val="00FE0444"/>
    <w:rsid w:val="00FE48C9"/>
    <w:rsid w:val="00FF0F5F"/>
    <w:rsid w:val="00FF16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2066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E22"/>
    <w:pPr>
      <w:jc w:val="both"/>
    </w:pPr>
    <w:rPr>
      <w:sz w:val="24"/>
    </w:rPr>
  </w:style>
  <w:style w:type="paragraph" w:styleId="Heading1">
    <w:name w:val="heading 1"/>
    <w:basedOn w:val="Normal"/>
    <w:next w:val="Normal"/>
    <w:qFormat/>
    <w:rsid w:val="005E4E22"/>
    <w:pPr>
      <w:keepNext/>
      <w:numPr>
        <w:numId w:val="10"/>
      </w:numPr>
      <w:spacing w:after="120" w:line="480" w:lineRule="auto"/>
      <w:jc w:val="center"/>
      <w:outlineLvl w:val="0"/>
    </w:pPr>
    <w:rPr>
      <w:b/>
      <w:caps/>
      <w:sz w:val="28"/>
    </w:rPr>
  </w:style>
  <w:style w:type="paragraph" w:styleId="Heading2">
    <w:name w:val="heading 2"/>
    <w:basedOn w:val="Heading1"/>
    <w:next w:val="Normal"/>
    <w:link w:val="Heading2Char"/>
    <w:qFormat/>
    <w:rsid w:val="005E4E22"/>
    <w:pPr>
      <w:numPr>
        <w:ilvl w:val="1"/>
      </w:numPr>
      <w:jc w:val="left"/>
      <w:outlineLvl w:val="1"/>
    </w:pPr>
    <w:rPr>
      <w:caps w:val="0"/>
    </w:rPr>
  </w:style>
  <w:style w:type="paragraph" w:styleId="Heading3">
    <w:name w:val="heading 3"/>
    <w:basedOn w:val="Heading2"/>
    <w:next w:val="Normal"/>
    <w:qFormat/>
    <w:rsid w:val="005E4E22"/>
    <w:pPr>
      <w:numPr>
        <w:ilvl w:val="2"/>
      </w:numPr>
      <w:outlineLvl w:val="2"/>
    </w:pPr>
  </w:style>
  <w:style w:type="paragraph" w:styleId="Heading4">
    <w:name w:val="heading 4"/>
    <w:basedOn w:val="Heading3"/>
    <w:next w:val="Normal"/>
    <w:qFormat/>
    <w:rsid w:val="005E4E22"/>
    <w:pPr>
      <w:numPr>
        <w:ilvl w:val="3"/>
      </w:numPr>
      <w:outlineLvl w:val="3"/>
    </w:pPr>
  </w:style>
  <w:style w:type="paragraph" w:styleId="Heading5">
    <w:name w:val="heading 5"/>
    <w:basedOn w:val="Heading4"/>
    <w:next w:val="Normal"/>
    <w:qFormat/>
    <w:rsid w:val="005E4E22"/>
    <w:pPr>
      <w:numPr>
        <w:ilvl w:val="4"/>
      </w:numPr>
      <w:outlineLvl w:val="4"/>
    </w:pPr>
  </w:style>
  <w:style w:type="paragraph" w:styleId="Heading6">
    <w:name w:val="heading 6"/>
    <w:basedOn w:val="Heading5"/>
    <w:next w:val="Normal"/>
    <w:qFormat/>
    <w:rsid w:val="005E4E22"/>
    <w:pPr>
      <w:numPr>
        <w:ilvl w:val="5"/>
      </w:numPr>
      <w:outlineLvl w:val="5"/>
    </w:pPr>
  </w:style>
  <w:style w:type="paragraph" w:styleId="Heading7">
    <w:name w:val="heading 7"/>
    <w:basedOn w:val="Heading6"/>
    <w:next w:val="Normal"/>
    <w:qFormat/>
    <w:rsid w:val="005E4E22"/>
    <w:pPr>
      <w:numPr>
        <w:ilvl w:val="6"/>
      </w:numPr>
      <w:outlineLvl w:val="6"/>
    </w:pPr>
  </w:style>
  <w:style w:type="paragraph" w:styleId="Heading8">
    <w:name w:val="heading 8"/>
    <w:basedOn w:val="Heading7"/>
    <w:next w:val="Normal"/>
    <w:qFormat/>
    <w:rsid w:val="005E4E22"/>
    <w:pPr>
      <w:numPr>
        <w:ilvl w:val="7"/>
      </w:numPr>
      <w:outlineLvl w:val="7"/>
    </w:pPr>
  </w:style>
  <w:style w:type="paragraph" w:styleId="Heading9">
    <w:name w:val="heading 9"/>
    <w:basedOn w:val="Heading8"/>
    <w:next w:val="Normal"/>
    <w:qFormat/>
    <w:rsid w:val="005E4E2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5E4E22"/>
  </w:style>
  <w:style w:type="paragraph" w:styleId="Caption">
    <w:name w:val="caption"/>
    <w:basedOn w:val="Normal"/>
    <w:next w:val="Normal"/>
    <w:qFormat/>
    <w:rsid w:val="005E4E22"/>
  </w:style>
  <w:style w:type="paragraph" w:customStyle="1" w:styleId="Docketnumber">
    <w:name w:val="Docket number"/>
    <w:basedOn w:val="Normal"/>
    <w:rsid w:val="005E4E22"/>
    <w:pPr>
      <w:jc w:val="center"/>
    </w:pPr>
    <w:rPr>
      <w:b/>
      <w:caps/>
      <w:sz w:val="28"/>
    </w:rPr>
  </w:style>
  <w:style w:type="paragraph" w:customStyle="1" w:styleId="Docketstyle">
    <w:name w:val="Docket style"/>
    <w:basedOn w:val="Normal"/>
    <w:rsid w:val="005E4E22"/>
    <w:pPr>
      <w:keepNext/>
      <w:tabs>
        <w:tab w:val="center" w:pos="4770"/>
        <w:tab w:val="left" w:pos="5400"/>
      </w:tabs>
      <w:spacing w:line="288" w:lineRule="auto"/>
    </w:pPr>
    <w:rPr>
      <w:b/>
      <w:caps/>
    </w:rPr>
  </w:style>
  <w:style w:type="paragraph" w:customStyle="1" w:styleId="Documentheading">
    <w:name w:val="Document heading"/>
    <w:basedOn w:val="Normal"/>
    <w:rsid w:val="005E4E22"/>
    <w:pPr>
      <w:keepNext/>
      <w:jc w:val="center"/>
    </w:pPr>
    <w:rPr>
      <w:b/>
      <w:caps/>
      <w:sz w:val="28"/>
    </w:rPr>
  </w:style>
  <w:style w:type="character" w:styleId="EndnoteReference">
    <w:name w:val="endnote reference"/>
    <w:basedOn w:val="DefaultParagraphFont"/>
    <w:semiHidden/>
    <w:rsid w:val="005E4E22"/>
    <w:rPr>
      <w:vertAlign w:val="superscript"/>
    </w:rPr>
  </w:style>
  <w:style w:type="paragraph" w:customStyle="1" w:styleId="Filename">
    <w:name w:val="Filename"/>
    <w:basedOn w:val="Normal"/>
    <w:rsid w:val="005E4E22"/>
    <w:rPr>
      <w:sz w:val="16"/>
    </w:rPr>
  </w:style>
  <w:style w:type="paragraph" w:styleId="Footer">
    <w:name w:val="footer"/>
    <w:basedOn w:val="Normal"/>
    <w:link w:val="FooterChar"/>
    <w:rsid w:val="005E4E22"/>
    <w:pPr>
      <w:tabs>
        <w:tab w:val="center" w:pos="4680"/>
        <w:tab w:val="right" w:pos="9360"/>
      </w:tabs>
      <w:spacing w:line="240" w:lineRule="atLeast"/>
    </w:pPr>
    <w:rPr>
      <w:sz w:val="16"/>
    </w:rPr>
  </w:style>
  <w:style w:type="paragraph" w:customStyle="1" w:styleId="Footnoteparagraph">
    <w:name w:val="Footnote paragraph"/>
    <w:basedOn w:val="FootnoteText"/>
    <w:rsid w:val="005E4E22"/>
    <w:pPr>
      <w:ind w:firstLine="720"/>
    </w:pPr>
  </w:style>
  <w:style w:type="paragraph" w:styleId="FootnoteText">
    <w:name w:val="footnote text"/>
    <w:basedOn w:val="Normal"/>
    <w:next w:val="Footnoteparagraph"/>
    <w:semiHidden/>
    <w:rsid w:val="005E4E22"/>
    <w:rPr>
      <w:sz w:val="20"/>
    </w:rPr>
  </w:style>
  <w:style w:type="paragraph" w:customStyle="1" w:styleId="Footnotequote">
    <w:name w:val="Footnote quote"/>
    <w:basedOn w:val="FootnoteText"/>
    <w:rsid w:val="005E4E22"/>
    <w:pPr>
      <w:spacing w:line="180" w:lineRule="exact"/>
      <w:ind w:left="720" w:right="720"/>
    </w:pPr>
  </w:style>
  <w:style w:type="character" w:styleId="FootnoteReference">
    <w:name w:val="footnote reference"/>
    <w:basedOn w:val="DefaultParagraphFont"/>
    <w:semiHidden/>
    <w:rsid w:val="005E4E22"/>
    <w:rPr>
      <w:position w:val="6"/>
      <w:sz w:val="16"/>
    </w:rPr>
  </w:style>
  <w:style w:type="paragraph" w:styleId="Header">
    <w:name w:val="header"/>
    <w:basedOn w:val="Normal"/>
    <w:rsid w:val="005E4E22"/>
    <w:pPr>
      <w:tabs>
        <w:tab w:val="center" w:pos="4680"/>
        <w:tab w:val="right" w:pos="9360"/>
      </w:tabs>
    </w:pPr>
  </w:style>
  <w:style w:type="paragraph" w:customStyle="1" w:styleId="Indent1">
    <w:name w:val="Indent 1"/>
    <w:basedOn w:val="Normal"/>
    <w:rsid w:val="005E4E22"/>
    <w:pPr>
      <w:ind w:left="720"/>
    </w:pPr>
  </w:style>
  <w:style w:type="paragraph" w:customStyle="1" w:styleId="Indent2">
    <w:name w:val="Indent 2"/>
    <w:basedOn w:val="Indent1"/>
    <w:rsid w:val="005E4E22"/>
    <w:pPr>
      <w:ind w:left="1440"/>
    </w:pPr>
  </w:style>
  <w:style w:type="paragraph" w:customStyle="1" w:styleId="Indent3">
    <w:name w:val="Indent 3"/>
    <w:basedOn w:val="Indent2"/>
    <w:rsid w:val="005E4E22"/>
    <w:pPr>
      <w:ind w:left="2160"/>
    </w:pPr>
  </w:style>
  <w:style w:type="paragraph" w:customStyle="1" w:styleId="Indent4">
    <w:name w:val="Indent 4"/>
    <w:basedOn w:val="Indent3"/>
    <w:rsid w:val="005E4E22"/>
    <w:pPr>
      <w:ind w:left="2880"/>
    </w:pPr>
  </w:style>
  <w:style w:type="paragraph" w:customStyle="1" w:styleId="Indent5">
    <w:name w:val="Indent 5"/>
    <w:basedOn w:val="Indent4"/>
    <w:rsid w:val="005E4E22"/>
    <w:pPr>
      <w:ind w:left="3600"/>
    </w:pPr>
  </w:style>
  <w:style w:type="paragraph" w:styleId="Index1">
    <w:name w:val="index 1"/>
    <w:basedOn w:val="Normal"/>
    <w:next w:val="Normal"/>
    <w:semiHidden/>
    <w:rsid w:val="005E4E22"/>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5E4E22"/>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5E4E22"/>
    <w:pPr>
      <w:ind w:left="1440" w:hanging="1440"/>
    </w:pPr>
  </w:style>
  <w:style w:type="paragraph" w:customStyle="1" w:styleId="Normaldouble">
    <w:name w:val="Normal double"/>
    <w:basedOn w:val="Normal"/>
    <w:rsid w:val="005E4E22"/>
    <w:pPr>
      <w:spacing w:line="480" w:lineRule="auto"/>
    </w:pPr>
  </w:style>
  <w:style w:type="paragraph" w:styleId="NormalIndent">
    <w:name w:val="Normal Indent"/>
    <w:basedOn w:val="Normal"/>
    <w:rsid w:val="005E4E22"/>
    <w:pPr>
      <w:ind w:left="720"/>
    </w:pPr>
  </w:style>
  <w:style w:type="character" w:styleId="PageNumber">
    <w:name w:val="page number"/>
    <w:basedOn w:val="DefaultParagraphFont"/>
    <w:rsid w:val="005E4E22"/>
  </w:style>
  <w:style w:type="paragraph" w:customStyle="1" w:styleId="Paragraph">
    <w:name w:val="Paragraph"/>
    <w:basedOn w:val="Normal"/>
    <w:rsid w:val="005E4E22"/>
    <w:pPr>
      <w:ind w:firstLine="720"/>
    </w:pPr>
  </w:style>
  <w:style w:type="paragraph" w:customStyle="1" w:styleId="Paragraphdouble">
    <w:name w:val="Paragraph double"/>
    <w:basedOn w:val="Paragraph"/>
    <w:rsid w:val="005E4E22"/>
    <w:pPr>
      <w:spacing w:line="480" w:lineRule="auto"/>
    </w:pPr>
  </w:style>
  <w:style w:type="paragraph" w:customStyle="1" w:styleId="Quoteindent">
    <w:name w:val="Quote indent"/>
    <w:basedOn w:val="Normal"/>
    <w:next w:val="Normal"/>
    <w:rsid w:val="005E4E22"/>
    <w:pPr>
      <w:spacing w:after="60" w:line="220" w:lineRule="exact"/>
      <w:ind w:left="720" w:right="720"/>
    </w:pPr>
    <w:rPr>
      <w:sz w:val="22"/>
    </w:rPr>
  </w:style>
  <w:style w:type="paragraph" w:customStyle="1" w:styleId="Quoteparagraph">
    <w:name w:val="Quote paragraph"/>
    <w:basedOn w:val="Quoteindent"/>
    <w:rsid w:val="005E4E22"/>
    <w:pPr>
      <w:ind w:firstLine="720"/>
    </w:pPr>
  </w:style>
  <w:style w:type="paragraph" w:customStyle="1" w:styleId="RE">
    <w:name w:val="RE"/>
    <w:basedOn w:val="Normal"/>
    <w:rsid w:val="005E4E22"/>
    <w:pPr>
      <w:ind w:left="720" w:hanging="720"/>
    </w:pPr>
  </w:style>
  <w:style w:type="paragraph" w:customStyle="1" w:styleId="Sectionheading">
    <w:name w:val="Section heading"/>
    <w:basedOn w:val="Normal"/>
    <w:next w:val="Normal"/>
    <w:rsid w:val="005E4E22"/>
    <w:pPr>
      <w:keepNext/>
      <w:spacing w:line="480" w:lineRule="auto"/>
      <w:jc w:val="center"/>
    </w:pPr>
    <w:rPr>
      <w:b/>
    </w:rPr>
  </w:style>
  <w:style w:type="paragraph" w:customStyle="1" w:styleId="Sectionnumber">
    <w:name w:val="Section number"/>
    <w:basedOn w:val="Normal"/>
    <w:next w:val="Paragraphdouble"/>
    <w:rsid w:val="005E4E22"/>
    <w:pPr>
      <w:keepNext/>
      <w:spacing w:line="480" w:lineRule="auto"/>
      <w:jc w:val="center"/>
    </w:pPr>
    <w:rPr>
      <w:b/>
      <w:caps/>
    </w:rPr>
  </w:style>
  <w:style w:type="paragraph" w:styleId="TableofAuthorities">
    <w:name w:val="table of authorities"/>
    <w:basedOn w:val="Normal"/>
    <w:next w:val="Normal"/>
    <w:semiHidden/>
    <w:rsid w:val="005E4E22"/>
    <w:pPr>
      <w:tabs>
        <w:tab w:val="right" w:leader="dot" w:pos="9360"/>
      </w:tabs>
      <w:ind w:left="240" w:hanging="240"/>
      <w:jc w:val="left"/>
    </w:pPr>
    <w:rPr>
      <w:sz w:val="20"/>
    </w:rPr>
  </w:style>
  <w:style w:type="paragraph" w:styleId="TOAHeading">
    <w:name w:val="toa heading"/>
    <w:basedOn w:val="Normal"/>
    <w:next w:val="Normal"/>
    <w:semiHidden/>
    <w:rsid w:val="005E4E22"/>
    <w:pPr>
      <w:keepNext/>
      <w:spacing w:before="240" w:after="120"/>
      <w:jc w:val="left"/>
    </w:pPr>
    <w:rPr>
      <w:b/>
      <w:caps/>
      <w:sz w:val="20"/>
    </w:rPr>
  </w:style>
  <w:style w:type="paragraph" w:styleId="TOC1">
    <w:name w:val="toc 1"/>
    <w:basedOn w:val="Heading1"/>
    <w:next w:val="Normal"/>
    <w:semiHidden/>
    <w:rsid w:val="005E4E22"/>
    <w:pPr>
      <w:keepNext w:val="0"/>
      <w:spacing w:before="360" w:after="0" w:line="240" w:lineRule="auto"/>
      <w:jc w:val="left"/>
      <w:outlineLvl w:val="9"/>
    </w:pPr>
    <w:rPr>
      <w:rFonts w:ascii="Arial" w:hAnsi="Arial" w:cs="Arial"/>
      <w:bCs/>
      <w:sz w:val="24"/>
      <w:szCs w:val="24"/>
    </w:rPr>
  </w:style>
  <w:style w:type="paragraph" w:styleId="TOC2">
    <w:name w:val="toc 2"/>
    <w:basedOn w:val="TOC1"/>
    <w:next w:val="Normal"/>
    <w:semiHidden/>
    <w:rsid w:val="005E4E22"/>
    <w:pPr>
      <w:spacing w:before="240"/>
    </w:pPr>
    <w:rPr>
      <w:rFonts w:ascii="Times New Roman" w:hAnsi="Times New Roman" w:cs="Times New Roman"/>
      <w:caps w:val="0"/>
      <w:sz w:val="20"/>
      <w:szCs w:val="20"/>
    </w:rPr>
  </w:style>
  <w:style w:type="paragraph" w:styleId="TOC3">
    <w:name w:val="toc 3"/>
    <w:basedOn w:val="TOC2"/>
    <w:next w:val="Normal"/>
    <w:semiHidden/>
    <w:rsid w:val="005E4E22"/>
    <w:pPr>
      <w:spacing w:before="0"/>
      <w:ind w:left="240"/>
    </w:pPr>
    <w:rPr>
      <w:b w:val="0"/>
      <w:bCs w:val="0"/>
    </w:rPr>
  </w:style>
  <w:style w:type="paragraph" w:styleId="TOC4">
    <w:name w:val="toc 4"/>
    <w:basedOn w:val="TOC3"/>
    <w:next w:val="Normal"/>
    <w:semiHidden/>
    <w:rsid w:val="005E4E22"/>
    <w:pPr>
      <w:ind w:left="480"/>
    </w:pPr>
  </w:style>
  <w:style w:type="paragraph" w:styleId="TOC5">
    <w:name w:val="toc 5"/>
    <w:basedOn w:val="TOC4"/>
    <w:next w:val="Normal"/>
    <w:semiHidden/>
    <w:rsid w:val="005E4E22"/>
    <w:pPr>
      <w:ind w:left="720"/>
    </w:pPr>
  </w:style>
  <w:style w:type="paragraph" w:styleId="TOC6">
    <w:name w:val="toc 6"/>
    <w:basedOn w:val="TOC5"/>
    <w:next w:val="Normal"/>
    <w:semiHidden/>
    <w:rsid w:val="005E4E22"/>
    <w:pPr>
      <w:ind w:left="960"/>
    </w:pPr>
  </w:style>
  <w:style w:type="paragraph" w:styleId="TOC7">
    <w:name w:val="toc 7"/>
    <w:basedOn w:val="TOC6"/>
    <w:next w:val="Normal"/>
    <w:semiHidden/>
    <w:rsid w:val="005E4E22"/>
    <w:pPr>
      <w:ind w:left="1200"/>
    </w:pPr>
  </w:style>
  <w:style w:type="paragraph" w:styleId="TOC8">
    <w:name w:val="toc 8"/>
    <w:basedOn w:val="TOC7"/>
    <w:next w:val="Normal"/>
    <w:semiHidden/>
    <w:rsid w:val="005E4E22"/>
    <w:pPr>
      <w:ind w:left="1440"/>
    </w:pPr>
  </w:style>
  <w:style w:type="paragraph" w:styleId="TOC9">
    <w:name w:val="toc 9"/>
    <w:basedOn w:val="TOC8"/>
    <w:next w:val="Normal"/>
    <w:semiHidden/>
    <w:rsid w:val="005E4E22"/>
    <w:pPr>
      <w:ind w:left="1680"/>
    </w:pPr>
  </w:style>
  <w:style w:type="paragraph" w:customStyle="1" w:styleId="label-normal">
    <w:name w:val="label-normal"/>
    <w:basedOn w:val="Normal"/>
    <w:rsid w:val="005E4E22"/>
    <w:pPr>
      <w:spacing w:line="216" w:lineRule="auto"/>
      <w:ind w:left="187" w:right="101"/>
      <w:jc w:val="left"/>
    </w:pPr>
    <w:rPr>
      <w:sz w:val="20"/>
    </w:rPr>
  </w:style>
  <w:style w:type="paragraph" w:customStyle="1" w:styleId="Testimony">
    <w:name w:val="Testimony"/>
    <w:basedOn w:val="Normal"/>
    <w:rsid w:val="005E4E22"/>
    <w:pPr>
      <w:spacing w:line="480" w:lineRule="auto"/>
      <w:ind w:left="720" w:hanging="720"/>
    </w:pPr>
  </w:style>
  <w:style w:type="paragraph" w:customStyle="1" w:styleId="fq1">
    <w:name w:val="fq1"/>
    <w:basedOn w:val="FootnoteText"/>
    <w:rsid w:val="005E4E22"/>
    <w:pPr>
      <w:ind w:left="720" w:hanging="720"/>
    </w:pPr>
  </w:style>
  <w:style w:type="paragraph" w:customStyle="1" w:styleId="Bullet-one">
    <w:name w:val="Bullet-one"/>
    <w:basedOn w:val="Paragraphdouble"/>
    <w:rsid w:val="005E4E22"/>
    <w:pPr>
      <w:spacing w:after="120" w:line="360" w:lineRule="auto"/>
      <w:ind w:left="1080" w:hanging="360"/>
    </w:pPr>
  </w:style>
  <w:style w:type="paragraph" w:customStyle="1" w:styleId="DOCKETNO">
    <w:name w:val="DOCKET NO."/>
    <w:rsid w:val="005E4E22"/>
    <w:pPr>
      <w:spacing w:after="480" w:line="240" w:lineRule="exact"/>
      <w:jc w:val="center"/>
    </w:pPr>
    <w:rPr>
      <w:b/>
      <w:caps/>
      <w:sz w:val="28"/>
    </w:rPr>
  </w:style>
  <w:style w:type="paragraph" w:customStyle="1" w:styleId="DOCKETSTYLE0">
    <w:name w:val="DOCKET STYLE"/>
    <w:rsid w:val="005E4E22"/>
    <w:pPr>
      <w:tabs>
        <w:tab w:val="left" w:pos="4608"/>
        <w:tab w:val="left" w:pos="5616"/>
        <w:tab w:val="left" w:pos="6912"/>
      </w:tabs>
      <w:spacing w:after="240" w:line="240" w:lineRule="exact"/>
    </w:pPr>
    <w:rPr>
      <w:b/>
      <w:caps/>
      <w:sz w:val="24"/>
    </w:rPr>
  </w:style>
  <w:style w:type="paragraph" w:customStyle="1" w:styleId="PL">
    <w:name w:val="PL"/>
    <w:aliases w:val="BR,MT"/>
    <w:rsid w:val="005E4E22"/>
    <w:pPr>
      <w:spacing w:line="480" w:lineRule="exact"/>
      <w:ind w:firstLine="720"/>
      <w:jc w:val="both"/>
    </w:pPr>
    <w:rPr>
      <w:sz w:val="24"/>
    </w:rPr>
  </w:style>
  <w:style w:type="paragraph" w:customStyle="1" w:styleId="REFERENCELINEMEMO">
    <w:name w:val="REFERENCE LINE MEMO"/>
    <w:rsid w:val="005E4E22"/>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5E4E22"/>
    <w:pPr>
      <w:keepNext/>
      <w:keepLines/>
      <w:tabs>
        <w:tab w:val="left" w:pos="0"/>
      </w:tabs>
      <w:suppressAutoHyphens/>
    </w:pPr>
    <w:rPr>
      <w:spacing w:val="-3"/>
    </w:rPr>
  </w:style>
  <w:style w:type="paragraph" w:customStyle="1" w:styleId="qa">
    <w:name w:val="qa"/>
    <w:basedOn w:val="Normal"/>
    <w:rsid w:val="005E4E22"/>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basedOn w:val="DefaultParagraphFont"/>
    <w:rsid w:val="007A5F84"/>
    <w:rPr>
      <w:color w:val="0000FF"/>
      <w:u w:val="single"/>
    </w:rPr>
  </w:style>
  <w:style w:type="paragraph" w:styleId="BodyText">
    <w:name w:val="Body Text"/>
    <w:basedOn w:val="Normal"/>
    <w:rsid w:val="00D73BF7"/>
    <w:pPr>
      <w:spacing w:line="480" w:lineRule="auto"/>
    </w:pPr>
  </w:style>
  <w:style w:type="character" w:customStyle="1" w:styleId="FooterChar">
    <w:name w:val="Footer Char"/>
    <w:basedOn w:val="DefaultParagraphFont"/>
    <w:link w:val="Footer"/>
    <w:rsid w:val="000433B8"/>
    <w:rPr>
      <w:sz w:val="16"/>
    </w:rPr>
  </w:style>
  <w:style w:type="paragraph" w:styleId="ListParagraph">
    <w:name w:val="List Paragraph"/>
    <w:basedOn w:val="Normal"/>
    <w:uiPriority w:val="34"/>
    <w:qFormat/>
    <w:rsid w:val="00697D3C"/>
    <w:pPr>
      <w:ind w:left="720"/>
      <w:contextualSpacing/>
    </w:pPr>
  </w:style>
  <w:style w:type="character" w:styleId="CommentReference">
    <w:name w:val="annotation reference"/>
    <w:basedOn w:val="DefaultParagraphFont"/>
    <w:semiHidden/>
    <w:unhideWhenUsed/>
    <w:rsid w:val="00EF0E4E"/>
    <w:rPr>
      <w:sz w:val="16"/>
      <w:szCs w:val="16"/>
    </w:rPr>
  </w:style>
  <w:style w:type="paragraph" w:styleId="CommentText">
    <w:name w:val="annotation text"/>
    <w:basedOn w:val="Normal"/>
    <w:link w:val="CommentTextChar"/>
    <w:semiHidden/>
    <w:unhideWhenUsed/>
    <w:rsid w:val="00EF0E4E"/>
    <w:rPr>
      <w:sz w:val="20"/>
    </w:rPr>
  </w:style>
  <w:style w:type="character" w:customStyle="1" w:styleId="CommentTextChar">
    <w:name w:val="Comment Text Char"/>
    <w:basedOn w:val="DefaultParagraphFont"/>
    <w:link w:val="CommentText"/>
    <w:semiHidden/>
    <w:rsid w:val="00EF0E4E"/>
  </w:style>
  <w:style w:type="paragraph" w:styleId="CommentSubject">
    <w:name w:val="annotation subject"/>
    <w:basedOn w:val="CommentText"/>
    <w:next w:val="CommentText"/>
    <w:link w:val="CommentSubjectChar"/>
    <w:semiHidden/>
    <w:unhideWhenUsed/>
    <w:rsid w:val="00EF0E4E"/>
    <w:rPr>
      <w:b/>
      <w:bCs/>
    </w:rPr>
  </w:style>
  <w:style w:type="character" w:customStyle="1" w:styleId="CommentSubjectChar">
    <w:name w:val="Comment Subject Char"/>
    <w:basedOn w:val="CommentTextChar"/>
    <w:link w:val="CommentSubject"/>
    <w:semiHidden/>
    <w:rsid w:val="00EF0E4E"/>
    <w:rPr>
      <w:b/>
      <w:bCs/>
    </w:rPr>
  </w:style>
  <w:style w:type="character" w:customStyle="1" w:styleId="Heading2Char">
    <w:name w:val="Heading 2 Char"/>
    <w:basedOn w:val="DefaultParagraphFont"/>
    <w:link w:val="Heading2"/>
    <w:rsid w:val="00BB1C1E"/>
    <w:rPr>
      <w:b/>
      <w:sz w:val="28"/>
    </w:rPr>
  </w:style>
  <w:style w:type="paragraph" w:styleId="Revision">
    <w:name w:val="Revision"/>
    <w:hidden/>
    <w:uiPriority w:val="99"/>
    <w:semiHidden/>
    <w:rsid w:val="001A080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370349">
      <w:bodyDiv w:val="1"/>
      <w:marLeft w:val="0"/>
      <w:marRight w:val="0"/>
      <w:marTop w:val="0"/>
      <w:marBottom w:val="0"/>
      <w:divBdr>
        <w:top w:val="none" w:sz="0" w:space="0" w:color="auto"/>
        <w:left w:val="none" w:sz="0" w:space="0" w:color="auto"/>
        <w:bottom w:val="none" w:sz="0" w:space="0" w:color="auto"/>
        <w:right w:val="none" w:sz="0" w:space="0" w:color="auto"/>
      </w:divBdr>
    </w:div>
    <w:div w:id="718209601">
      <w:bodyDiv w:val="1"/>
      <w:marLeft w:val="0"/>
      <w:marRight w:val="0"/>
      <w:marTop w:val="0"/>
      <w:marBottom w:val="0"/>
      <w:divBdr>
        <w:top w:val="none" w:sz="0" w:space="0" w:color="auto"/>
        <w:left w:val="none" w:sz="0" w:space="0" w:color="auto"/>
        <w:bottom w:val="none" w:sz="0" w:space="0" w:color="auto"/>
        <w:right w:val="none" w:sz="0" w:space="0" w:color="auto"/>
      </w:divBdr>
    </w:div>
    <w:div w:id="791825801">
      <w:bodyDiv w:val="1"/>
      <w:marLeft w:val="0"/>
      <w:marRight w:val="0"/>
      <w:marTop w:val="0"/>
      <w:marBottom w:val="0"/>
      <w:divBdr>
        <w:top w:val="none" w:sz="0" w:space="0" w:color="auto"/>
        <w:left w:val="none" w:sz="0" w:space="0" w:color="auto"/>
        <w:bottom w:val="none" w:sz="0" w:space="0" w:color="auto"/>
        <w:right w:val="none" w:sz="0" w:space="0" w:color="auto"/>
      </w:divBdr>
    </w:div>
    <w:div w:id="1075740287">
      <w:bodyDiv w:val="1"/>
      <w:marLeft w:val="0"/>
      <w:marRight w:val="0"/>
      <w:marTop w:val="0"/>
      <w:marBottom w:val="0"/>
      <w:divBdr>
        <w:top w:val="none" w:sz="0" w:space="0" w:color="auto"/>
        <w:left w:val="none" w:sz="0" w:space="0" w:color="auto"/>
        <w:bottom w:val="none" w:sz="0" w:space="0" w:color="auto"/>
        <w:right w:val="none" w:sz="0" w:space="0" w:color="auto"/>
      </w:divBdr>
    </w:div>
    <w:div w:id="1616255605">
      <w:bodyDiv w:val="1"/>
      <w:marLeft w:val="0"/>
      <w:marRight w:val="0"/>
      <w:marTop w:val="0"/>
      <w:marBottom w:val="0"/>
      <w:divBdr>
        <w:top w:val="none" w:sz="0" w:space="0" w:color="auto"/>
        <w:left w:val="none" w:sz="0" w:space="0" w:color="auto"/>
        <w:bottom w:val="none" w:sz="0" w:space="0" w:color="auto"/>
        <w:right w:val="none" w:sz="0" w:space="0" w:color="auto"/>
      </w:divBdr>
      <w:divsChild>
        <w:div w:id="1110928030">
          <w:marLeft w:val="0"/>
          <w:marRight w:val="0"/>
          <w:marTop w:val="240"/>
          <w:marBottom w:val="0"/>
          <w:divBdr>
            <w:top w:val="none" w:sz="0" w:space="0" w:color="auto"/>
            <w:left w:val="none" w:sz="0" w:space="0" w:color="auto"/>
            <w:bottom w:val="none" w:sz="0" w:space="0" w:color="auto"/>
            <w:right w:val="none" w:sz="0" w:space="0" w:color="auto"/>
          </w:divBdr>
          <w:divsChild>
            <w:div w:id="47595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122614">
      <w:bodyDiv w:val="1"/>
      <w:marLeft w:val="0"/>
      <w:marRight w:val="0"/>
      <w:marTop w:val="0"/>
      <w:marBottom w:val="0"/>
      <w:divBdr>
        <w:top w:val="none" w:sz="0" w:space="0" w:color="auto"/>
        <w:left w:val="none" w:sz="0" w:space="0" w:color="auto"/>
        <w:bottom w:val="none" w:sz="0" w:space="0" w:color="auto"/>
        <w:right w:val="none" w:sz="0" w:space="0" w:color="auto"/>
      </w:divBdr>
    </w:div>
    <w:div w:id="1971932907">
      <w:bodyDiv w:val="1"/>
      <w:marLeft w:val="0"/>
      <w:marRight w:val="0"/>
      <w:marTop w:val="0"/>
      <w:marBottom w:val="0"/>
      <w:divBdr>
        <w:top w:val="none" w:sz="0" w:space="0" w:color="auto"/>
        <w:left w:val="none" w:sz="0" w:space="0" w:color="auto"/>
        <w:bottom w:val="none" w:sz="0" w:space="0" w:color="auto"/>
        <w:right w:val="none" w:sz="0" w:space="0" w:color="auto"/>
      </w:divBdr>
    </w:div>
    <w:div w:id="198469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699A0-284A-43B0-BE1F-8553E42F2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3401</Words>
  <Characters>18527</Characters>
  <Application>Microsoft Office Word</Application>
  <DocSecurity>0</DocSecurity>
  <Lines>154</Lines>
  <Paragraphs>43</Paragraphs>
  <ScaleCrop>false</ScaleCrop>
  <Company/>
  <LinksUpToDate>false</LinksUpToDate>
  <CharactersWithSpaces>21885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2018-07-02T17:59:00Z</dcterms:created>
  <dcterms:modified xsi:type="dcterms:W3CDTF">2018-07-02T17:59:00Z</dcterms:modified>
</cp:coreProperties>
</file>